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56806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/>
          <w:color w:val="auto"/>
          <w:sz w:val="36"/>
          <w:szCs w:val="36"/>
          <w:highlight w:val="none"/>
          <w:lang w:eastAsia="zh-CN"/>
        </w:rPr>
      </w:pPr>
      <w:bookmarkStart w:id="0" w:name="_Toc16063"/>
      <w:bookmarkStart w:id="1" w:name="_Toc16992"/>
      <w:bookmarkStart w:id="2" w:name="_Toc19544"/>
      <w:r>
        <w:rPr>
          <w:rFonts w:hint="eastAsia"/>
          <w:color w:val="auto"/>
          <w:sz w:val="36"/>
          <w:szCs w:val="36"/>
          <w:highlight w:val="none"/>
        </w:rPr>
        <w:t>三亚学院实验室管理办法</w:t>
      </w:r>
      <w:bookmarkEnd w:id="0"/>
      <w:bookmarkEnd w:id="1"/>
      <w:bookmarkEnd w:id="2"/>
      <w:bookmarkStart w:id="3" w:name="_Toc9424"/>
      <w:bookmarkStart w:id="4" w:name="_Toc17617"/>
      <w:bookmarkStart w:id="5" w:name="_Toc12537"/>
    </w:p>
    <w:p w14:paraId="0D54BE47">
      <w:pPr>
        <w:rPr>
          <w:rFonts w:hint="eastAsia"/>
        </w:rPr>
      </w:pPr>
    </w:p>
    <w:p w14:paraId="04182F8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第一章  总则</w:t>
      </w:r>
      <w:bookmarkEnd w:id="3"/>
      <w:bookmarkEnd w:id="4"/>
      <w:bookmarkEnd w:id="5"/>
    </w:p>
    <w:p w14:paraId="6D891EF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第一条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是学校教学及研究的重要平台，是应用型人才培养的必要保障。为了认真贯彻落实教育部《高等学院实验室工作规程》，加强我校实验室的建设和管理，提升实验教学质量和研究水平，提高办学效益，特制定本办法。</w:t>
      </w:r>
    </w:p>
    <w:p w14:paraId="2365D0C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第二条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本办法适用范围是隶属于或依托学校管理，从事实验教学、科学研究、学科（专业）建设、技术开发、社会服务等工作的实验室。</w:t>
      </w:r>
    </w:p>
    <w:p w14:paraId="1C0842A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第三条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学校实验室的建设，坚持立足学校实际，统筹规划，合理布局，实现空间场地、仪器设备、技术队伍与科学管理协调发展，提高整体效益。</w:t>
      </w:r>
    </w:p>
    <w:p w14:paraId="6764889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第四条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实验室资源以五大跨学科平台为基础，实行“平台内打通、跨平台共享”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的运行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模式，推动实验室空间、设备、数据及人才资源的统筹管理与开放共享，提升资源利用效率，支撑跨学科教学、科研与社会服务。</w:t>
      </w:r>
      <w:bookmarkStart w:id="6" w:name="_Toc15084"/>
      <w:bookmarkStart w:id="7" w:name="_Toc25721"/>
      <w:bookmarkStart w:id="8" w:name="_Toc1598"/>
    </w:p>
    <w:p w14:paraId="57470EA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第二章  管理体制</w:t>
      </w:r>
      <w:bookmarkEnd w:id="6"/>
      <w:bookmarkEnd w:id="7"/>
      <w:bookmarkEnd w:id="8"/>
    </w:p>
    <w:p w14:paraId="531679A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第五条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学校实验室实行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“学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平台—学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”的三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级管理。</w:t>
      </w:r>
    </w:p>
    <w:p w14:paraId="21D8B256">
      <w:pPr>
        <w:pStyle w:val="6"/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0" w:afterAutospacing="0" w:line="360" w:lineRule="auto"/>
        <w:ind w:left="0" w:firstLine="48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en-US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（一）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en-US" w:bidi="ar"/>
        </w:rPr>
        <w:t>学校由相关副校长分管全校实验室工作。实验室管理中心是学校实验室的建设和教学服务保障管理机构，负责贯彻执</w:t>
      </w:r>
      <w:bookmarkStart w:id="24" w:name="_GoBack"/>
      <w:bookmarkEnd w:id="24"/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en-US" w:bidi="ar"/>
        </w:rPr>
        <w:t>行国家有关方针、政策，结合实验室工作的实际，制定相关规章制度；检查督促各学院（部）完成实验室的各项工作任务；制定学校实验室建设计划、统筹全校实验室资源共享、实验室建设和考评等；负责实验室安全运行，协管实验室队伍建设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36F0273F">
      <w:pPr>
        <w:pStyle w:val="6"/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0" w:afterAutospacing="0" w:line="360" w:lineRule="auto"/>
        <w:ind w:left="0" w:firstLine="48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en-US" w:bidi="ar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en-US" w:bidi="ar"/>
        </w:rPr>
        <w:t>（二）平台层面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en-US" w:bidi="ar"/>
        </w:rPr>
        <w:t>由五大跨学科平台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按照平台内各学院人才培养的需要，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en-US" w:bidi="ar"/>
        </w:rPr>
        <w:t>协调本平台内实验室资源的整合、调度与共享。</w:t>
      </w:r>
    </w:p>
    <w:p w14:paraId="066DBA3E">
      <w:pPr>
        <w:pStyle w:val="6"/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en-US" w:bidi="ar"/>
        </w:rPr>
        <w:t>（三）各学院（部）由相关院领导分管本单位实验室工作。各学院（部）应当依据学科（专业）特点，做好实验室建设规划，明确实验室的类型及功能定位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，做好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en-US" w:bidi="ar"/>
        </w:rPr>
        <w:t>实验室日常运行、维护及安全管理，并执行平台资源共享任务。依据学校人事聘用管理规定对实验教学管理人员进行监督管理。</w:t>
      </w:r>
      <w:bookmarkStart w:id="9" w:name="_Toc19369"/>
      <w:bookmarkStart w:id="10" w:name="_Toc6881"/>
      <w:bookmarkStart w:id="11" w:name="_Toc29008"/>
    </w:p>
    <w:p w14:paraId="12BCF93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第三章  基本任务</w:t>
      </w:r>
      <w:bookmarkEnd w:id="9"/>
      <w:bookmarkEnd w:id="10"/>
      <w:bookmarkEnd w:id="11"/>
    </w:p>
    <w:p w14:paraId="6DFED72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第六条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bidi="ar"/>
        </w:rPr>
        <w:t>根据应用型人才培养方案、教学计划、课程大纲的规定，实验室承担和完成实验教学任务，包括实验指导书、教学大纲、实验教材（讲义）及课件等教学资料，安排实验指导人员，科学、合理地配置实验仪器设备及物品，加强日常管理，保证完成各项实验教学任务。</w:t>
      </w:r>
    </w:p>
    <w:p w14:paraId="7C28A9D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第七条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应当吸收教改、教研最新成果，及时充实、更新实验内容，改革实验教学方法；创造条件开设新的实验项目，增加综合性、设计性实验；切实加强学生基本实验技能的训练，帮助学生掌握科学实验方法，培养学生理论联系实际的学风、严谨科学的态度、开拓创新的意识、团结协作的精神和解决实际问题的能力。</w:t>
      </w:r>
    </w:p>
    <w:p w14:paraId="44EF768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第八条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在满足实验教学的基础上，实验室应当积极承担科研任务中的科学实验工作，不断探索实验技术的研究与开发，优化设备条件和工作环境，开发仪器功能，发挥技术和仪器设备的潜力，努力提高实验技术，满足教学和科研的需要。</w:t>
      </w:r>
    </w:p>
    <w:p w14:paraId="5B24797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第九条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实验室除完成本平台教学科研任务外，应积极面向其他平台开放共享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22A0464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（一）平台内实验室应实现设备、数据、空间等资源的无缝对接，避免重复建设。</w:t>
      </w:r>
    </w:p>
    <w:p w14:paraId="55B45BD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（二）跨平台实验室应优先支持具有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共同场景族或场景的平台及学院的人才培养需求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2D435EC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（三）实验室管理中心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定期更新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各平台及学院的实验室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资源共享目录，包括可共享设备清单、开放时间、使用条件等，并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向各学院及平台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发布。</w:t>
      </w:r>
    </w:p>
    <w:p w14:paraId="10436FF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en-US" w:bidi="ar"/>
        </w:rPr>
        <w:t>第十条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en-US" w:bidi="ar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凡是有条件的实验室，实验室在保证教学和科研任务的前提下，应当紧密结合教学和科研实际，积极开展社会服务和技术研发，实现“产学研用”相结合的目标。</w:t>
      </w:r>
    </w:p>
    <w:p w14:paraId="7F5B827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实验室应当定期做好仪器设备的管理和维护工作，保证实验的正常进行。同时鼓励开展实验装置或物品的研究和自制工作。</w:t>
      </w:r>
    </w:p>
    <w:p w14:paraId="0F9344B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实验室应当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建立并完善实验室建设和管理的各项规章制度，做好实验室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工作人员的培训、管理及考核工作，加强实验室安全培训教育与演练，确保实验室运行安全。</w:t>
      </w:r>
      <w:bookmarkStart w:id="12" w:name="_Toc22907"/>
      <w:bookmarkStart w:id="13" w:name="_Toc13048"/>
      <w:bookmarkStart w:id="14" w:name="_Toc18780"/>
    </w:p>
    <w:p w14:paraId="4200D47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第四章  立项建设</w:t>
      </w:r>
      <w:bookmarkEnd w:id="12"/>
      <w:bookmarkEnd w:id="13"/>
      <w:bookmarkEnd w:id="14"/>
    </w:p>
    <w:p w14:paraId="7C4C89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立项按照申请、论证、实施、监督、验收、效益考核等程序进行建设。学校成立实验室立项建设评议组，具体由实验室管理中心负责组织。实验室立项建设评议组由分管实验室的副校长牵头，实验室管理中心负责人、设备处负责人及相关专业的校内外技术专家组成。</w:t>
      </w:r>
    </w:p>
    <w:p w14:paraId="3860706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实验室的设置应当从学校学科（专业）发展规划及应用型人才培养的需要出发，遵循“统筹规划、资源共享、讲求效益、突出重点、分步实施、统一管理、服务社会”的原则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；各学院在实验室立项论证过程中明确资源共享的相关内容。</w:t>
      </w:r>
    </w:p>
    <w:p w14:paraId="09952D6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十五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实验室设置的基本条件：</w:t>
      </w:r>
    </w:p>
    <w:p w14:paraId="54D92A6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有明确稳定的学科（专业）发展方向和饱满的实验教学及研究等工作任务；</w:t>
      </w:r>
    </w:p>
    <w:p w14:paraId="41B973F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有符合实验教学及研究开展要求的用房、设施和环境条件；</w:t>
      </w:r>
    </w:p>
    <w:p w14:paraId="4D18DB7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有与完成教学或研究、技术开发任务相适应的配套仪器设备；</w:t>
      </w:r>
    </w:p>
    <w:p w14:paraId="3A4E00E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符合在岗定编要求，具有与完成任务相适应的实验技术人员；</w:t>
      </w:r>
    </w:p>
    <w:p w14:paraId="1BDE4DA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履行正式的审批手续。实验室的新建、扩建、改建、升级、撤销等须由学院（部）提出申请，并提交相应的申报材料，经实验室管理中心审核，报学校批准后方可实施；</w:t>
      </w:r>
    </w:p>
    <w:p w14:paraId="5F88AE3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有基本完备的管理规章制度和工作规范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。</w:t>
      </w:r>
    </w:p>
    <w:p w14:paraId="2E1A1690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第十六条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实验室建设优先支持跨平台共享需求强烈的项目，对现有实验室升级改造应充分考虑资源共享功能扩展。</w:t>
      </w:r>
    </w:p>
    <w:p w14:paraId="34807DA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十七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实验室的设置及建设验收必须按照规定程序上报学校主管部门审批，具体程序及要求按照《三亚学院实验室建设项目立项和实施管理办法》执行。</w:t>
      </w:r>
    </w:p>
    <w:p w14:paraId="7E3CFB6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十八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实验室立项建设经费按照学校实验室年度建设计划统筹安排。</w:t>
      </w:r>
      <w:bookmarkStart w:id="15" w:name="_Toc10174"/>
      <w:bookmarkStart w:id="16" w:name="_Toc14411"/>
      <w:bookmarkStart w:id="17" w:name="_Toc21100"/>
    </w:p>
    <w:p w14:paraId="46025F2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第五章  运行管理</w:t>
      </w:r>
      <w:bookmarkEnd w:id="15"/>
      <w:bookmarkEnd w:id="16"/>
      <w:bookmarkEnd w:id="17"/>
    </w:p>
    <w:p w14:paraId="2F9D73D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十九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根据学校实验室管理体制，各学院（部）负责实验室日常运行及维护等管理工作。学院分管院领导是本单位实验室管理的第一责任人，统筹组织实验室相关人员共同参与实验室的运行管理。实验室管理员是实验室管理的直接责任人，在学院分管院领导的领导下，做好实验室的日常管理工作。</w:t>
      </w:r>
    </w:p>
    <w:p w14:paraId="327B6C4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第二十条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实验室应当严格遵守国家有关法律法规，认真贯彻执行上级主管部门及学校实验室管理、仪器设备管理、安全管理等规章制度，制定符合本实验室特点的工作制度及规程。需师生熟知的制度应当上墙悬挂明示。</w:t>
      </w:r>
    </w:p>
    <w:p w14:paraId="5030EC0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第二十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实验室实行“预约制”开放共享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需进行申请（见附件1），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通过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信息化手段，逐步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实现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实验室在平台内及跨平台间的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线上预约、授权使用、数据记录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等；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平台内实验室优先满足本平台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人才培养的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需求，跨平台使用按预约优先级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（教学&gt;科研&gt;社会服务）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统筹安排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；实验室仪器设备共享收费按照《三亚学院实验仪器设备开放共享管理办法》执行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。</w:t>
      </w:r>
    </w:p>
    <w:p w14:paraId="702AD71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 w:bidi="ar"/>
        </w:rPr>
        <w:t>第二十二条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建立“实验室共享绩效档案”，记录各实验室开放时长、服务人次、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平台内及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跨平台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共享次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数等，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作为年度考核依据。</w:t>
      </w:r>
    </w:p>
    <w:p w14:paraId="0249F0A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第二十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实验室仪器设备和实验材料、低值耐用品、易耗品等物资的管理，按照《三亚学院教学仪器设备管理办法》《三亚学院实验材料、低值耐用品、易耗品管理办法》等文件执行。</w:t>
      </w:r>
    </w:p>
    <w:p w14:paraId="23C1DA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第二十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应当严格遵守国家及学校的安全规定，定期检查防火、防爆、防盗、防事故等方面安全措施的落实情况，经常对师生开展安全教育及培训，切实保障人身和财产安全。对发现的安全隐患问题及时处理消除。如因责任事故造成损失，将依法依规追究有关部门及人员责任。</w:t>
      </w:r>
    </w:p>
    <w:p w14:paraId="33BD8C2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第二十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应当完善各项管理制度，充分利用现代教育技术，提高实验教学和实验室管理的信息化水平，及时对实验室的工作、人员、物资、经费、环境状态等信息进行记录、统计和分析，准确反映实验室工作的基本状况，为学校或上级主管部门提供实验室情况的准确数据。</w:t>
      </w:r>
    </w:p>
    <w:p w14:paraId="481F546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第二十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学校根据实验室基本条件、管理水平、安全与环保、整体效益、特色等方面完善评价指标体系，进行实验室建设与管理年度综合考核。考评结果作为考核各学院（部）办学水平的重要依据之一，并直接影响学校下一年度对学院（部）实验室立项建设项目的支持力度。</w:t>
      </w:r>
      <w:bookmarkStart w:id="18" w:name="_Toc4211"/>
      <w:bookmarkStart w:id="19" w:name="_Toc4288"/>
      <w:bookmarkStart w:id="20" w:name="_Toc31440"/>
    </w:p>
    <w:p w14:paraId="0F4D960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第六章  队伍建设</w:t>
      </w:r>
      <w:bookmarkEnd w:id="18"/>
      <w:bookmarkEnd w:id="19"/>
      <w:bookmarkEnd w:id="20"/>
    </w:p>
    <w:p w14:paraId="6940033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二十七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应当建立和健全岗位责任制。按需设岗，按岗定编，定编人数须与人事处、实验室管理中心协商后报学校审定。定编人数确定后，由学院根据工作需要聘任实验室工作人员，并做好年度业绩考核。对违章、失职或因工作不负责任造成损失者，视情况进行批评教育或处分，直至追究法律责任。</w:t>
      </w:r>
    </w:p>
    <w:p w14:paraId="0C1B211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二十八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实验室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管理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人员职责应当分工明确，按照岗位职责各司其职，团结协作，积极完成各项任务。实验室特殊岗位工作人员必须持证上岗。</w:t>
      </w:r>
    </w:p>
    <w:p w14:paraId="5905236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 w:bidi="ar"/>
        </w:rPr>
        <w:t>第二十九条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 xml:space="preserve"> 实验教师助理的管理按照“学院派驻、平台内流动”的模式进行日常管理，同时通过定期培训增强实验室管理人员的跨平台服务能力，必要时设立“共享服务岗”，专职负责实验室资源开放与协调。</w:t>
      </w:r>
    </w:p>
    <w:p w14:paraId="3C2C001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1" w:name="_Toc29615"/>
      <w:bookmarkStart w:id="22" w:name="_Toc25717"/>
      <w:bookmarkStart w:id="23" w:name="_Toc1626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第七章  附则</w:t>
      </w:r>
      <w:bookmarkEnd w:id="21"/>
      <w:bookmarkEnd w:id="22"/>
      <w:bookmarkEnd w:id="23"/>
    </w:p>
    <w:p w14:paraId="0554841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2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三十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本办法由实验室管理中心负责解释。</w:t>
      </w:r>
    </w:p>
    <w:p w14:paraId="5656935B">
      <w:pPr>
        <w:numPr>
          <w:ilvl w:val="0"/>
          <w:numId w:val="0"/>
        </w:numPr>
        <w:overflowPunct w:val="0"/>
        <w:spacing w:line="360" w:lineRule="auto"/>
        <w:ind w:left="0" w:firstLine="482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pgSz w:w="11906" w:h="16838"/>
          <w:pgMar w:top="1440" w:right="1440" w:bottom="1440" w:left="1440" w:header="851" w:footer="851" w:gutter="0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第三十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 xml:space="preserve">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本办法自发布之日起施行，原2023年9月15日发布的《三亚学院实验室管理办法》同时废止。</w:t>
      </w:r>
    </w:p>
    <w:p w14:paraId="54C3CF5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附件1</w:t>
      </w:r>
    </w:p>
    <w:p w14:paraId="2FBB1B2C">
      <w:pPr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42A6639">
      <w:pPr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开放共享实验室使用申请表</w:t>
      </w:r>
    </w:p>
    <w:tbl>
      <w:tblPr>
        <w:tblStyle w:val="7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235"/>
        <w:gridCol w:w="1436"/>
        <w:gridCol w:w="586"/>
        <w:gridCol w:w="995"/>
        <w:gridCol w:w="1516"/>
        <w:gridCol w:w="1887"/>
      </w:tblGrid>
      <w:tr w14:paraId="05AA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330" w:type="dxa"/>
            <w:noWrap w:val="0"/>
            <w:vAlign w:val="center"/>
          </w:tcPr>
          <w:p w14:paraId="681D010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借用人姓名</w:t>
            </w:r>
          </w:p>
        </w:tc>
        <w:tc>
          <w:tcPr>
            <w:tcW w:w="1235" w:type="dxa"/>
            <w:noWrap w:val="0"/>
            <w:vAlign w:val="center"/>
          </w:tcPr>
          <w:p w14:paraId="734A39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89A8E2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6503C2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67CCA2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887" w:type="dxa"/>
            <w:noWrap w:val="0"/>
            <w:vAlign w:val="center"/>
          </w:tcPr>
          <w:p w14:paraId="0C1DF05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B1D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30" w:type="dxa"/>
            <w:noWrap w:val="0"/>
            <w:vAlign w:val="center"/>
          </w:tcPr>
          <w:p w14:paraId="2ACECB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借用日期</w:t>
            </w:r>
          </w:p>
        </w:tc>
        <w:tc>
          <w:tcPr>
            <w:tcW w:w="1235" w:type="dxa"/>
            <w:noWrap w:val="0"/>
            <w:vAlign w:val="center"/>
          </w:tcPr>
          <w:p w14:paraId="3C2B7E1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1C4CC2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归还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72E22AB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068B7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所属平台</w:t>
            </w:r>
          </w:p>
        </w:tc>
        <w:tc>
          <w:tcPr>
            <w:tcW w:w="1887" w:type="dxa"/>
            <w:noWrap w:val="0"/>
            <w:vAlign w:val="center"/>
          </w:tcPr>
          <w:p w14:paraId="532338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 w14:paraId="1C28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30" w:type="dxa"/>
            <w:noWrap w:val="0"/>
            <w:vAlign w:val="center"/>
          </w:tcPr>
          <w:p w14:paraId="703849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所借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实验室</w:t>
            </w:r>
          </w:p>
        </w:tc>
        <w:tc>
          <w:tcPr>
            <w:tcW w:w="2671" w:type="dxa"/>
            <w:gridSpan w:val="2"/>
            <w:noWrap w:val="0"/>
            <w:vAlign w:val="center"/>
          </w:tcPr>
          <w:p w14:paraId="0D8BAAF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实验/活动名称、项目类别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069D1B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人数</w:t>
            </w:r>
          </w:p>
        </w:tc>
        <w:tc>
          <w:tcPr>
            <w:tcW w:w="1516" w:type="dxa"/>
            <w:noWrap w:val="0"/>
            <w:vAlign w:val="center"/>
          </w:tcPr>
          <w:p w14:paraId="765A799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研究内容简述</w:t>
            </w:r>
          </w:p>
        </w:tc>
        <w:tc>
          <w:tcPr>
            <w:tcW w:w="1887" w:type="dxa"/>
            <w:noWrap w:val="0"/>
            <w:vAlign w:val="center"/>
          </w:tcPr>
          <w:p w14:paraId="3DDF5A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预期效果</w:t>
            </w:r>
          </w:p>
        </w:tc>
      </w:tr>
      <w:tr w14:paraId="4430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330" w:type="dxa"/>
            <w:noWrap w:val="0"/>
            <w:vAlign w:val="center"/>
          </w:tcPr>
          <w:p w14:paraId="10EAF1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71" w:type="dxa"/>
            <w:gridSpan w:val="2"/>
            <w:noWrap w:val="0"/>
            <w:vAlign w:val="center"/>
          </w:tcPr>
          <w:p w14:paraId="5536C8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6F8D43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C11CA3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558499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A60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330" w:type="dxa"/>
            <w:noWrap w:val="0"/>
            <w:vAlign w:val="center"/>
          </w:tcPr>
          <w:p w14:paraId="7220801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实验室使用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用途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4BEFDD1C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借用目的：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实验教学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（）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科研锻炼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（）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第二课堂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竞赛训练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（）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技能培训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校内外开放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S模块（） T模块（）</w:t>
            </w:r>
          </w:p>
          <w:p w14:paraId="461F9236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其他原因：</w:t>
            </w:r>
          </w:p>
        </w:tc>
      </w:tr>
      <w:tr w14:paraId="53F6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8985" w:type="dxa"/>
            <w:gridSpan w:val="7"/>
            <w:noWrap w:val="0"/>
            <w:vAlign w:val="center"/>
          </w:tcPr>
          <w:p w14:paraId="7DDF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借用人在实验室使用期间必须遵守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实验室管理办法、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教学仪器设备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管理办法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有关规定，按规程操作仪器设备，自觉进行仪器设备的正常维护，保证所借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实验室状态正常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，用后及时归还。如有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场地、设备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损坏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丢失，借用人需对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场地、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仪器设备进行维修或赔偿。                                             </w:t>
            </w:r>
          </w:p>
        </w:tc>
      </w:tr>
      <w:tr w14:paraId="2575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30" w:type="dxa"/>
            <w:vMerge w:val="restart"/>
            <w:noWrap w:val="0"/>
            <w:vAlign w:val="center"/>
          </w:tcPr>
          <w:p w14:paraId="12DCF6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实验室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借出时状况</w:t>
            </w:r>
          </w:p>
          <w:p w14:paraId="06E09A0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（由借用人填写）</w:t>
            </w:r>
          </w:p>
        </w:tc>
        <w:tc>
          <w:tcPr>
            <w:tcW w:w="3257" w:type="dxa"/>
            <w:gridSpan w:val="3"/>
            <w:vMerge w:val="restart"/>
            <w:noWrap w:val="0"/>
            <w:vAlign w:val="center"/>
          </w:tcPr>
          <w:p w14:paraId="7CFA07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vMerge w:val="restart"/>
            <w:noWrap w:val="0"/>
            <w:vAlign w:val="center"/>
          </w:tcPr>
          <w:p w14:paraId="6F21F3C2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签字</w:t>
            </w:r>
          </w:p>
        </w:tc>
        <w:tc>
          <w:tcPr>
            <w:tcW w:w="1516" w:type="dxa"/>
            <w:noWrap w:val="0"/>
            <w:vAlign w:val="center"/>
          </w:tcPr>
          <w:p w14:paraId="36E26F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借用人</w:t>
            </w:r>
          </w:p>
        </w:tc>
        <w:tc>
          <w:tcPr>
            <w:tcW w:w="1887" w:type="dxa"/>
            <w:noWrap w:val="0"/>
            <w:vAlign w:val="center"/>
          </w:tcPr>
          <w:p w14:paraId="7403AE3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B73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 w14:paraId="0B1F82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7" w:type="dxa"/>
            <w:gridSpan w:val="3"/>
            <w:vMerge w:val="continue"/>
            <w:noWrap w:val="0"/>
            <w:vAlign w:val="center"/>
          </w:tcPr>
          <w:p w14:paraId="12D6FF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4286ED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D5DFD08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院领导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/单位负责人</w:t>
            </w:r>
          </w:p>
        </w:tc>
        <w:tc>
          <w:tcPr>
            <w:tcW w:w="1887" w:type="dxa"/>
            <w:noWrap w:val="0"/>
            <w:vAlign w:val="center"/>
          </w:tcPr>
          <w:p w14:paraId="0CBE72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C81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30" w:type="dxa"/>
            <w:noWrap w:val="0"/>
            <w:vAlign w:val="center"/>
          </w:tcPr>
          <w:p w14:paraId="075B72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实验室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归还时状况</w:t>
            </w:r>
          </w:p>
          <w:p w14:paraId="25FB07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（由管理员填写）</w:t>
            </w:r>
          </w:p>
        </w:tc>
        <w:tc>
          <w:tcPr>
            <w:tcW w:w="3257" w:type="dxa"/>
            <w:gridSpan w:val="3"/>
            <w:noWrap w:val="0"/>
            <w:vAlign w:val="center"/>
          </w:tcPr>
          <w:p w14:paraId="05DDD11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922F31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签字</w:t>
            </w:r>
          </w:p>
        </w:tc>
        <w:tc>
          <w:tcPr>
            <w:tcW w:w="1516" w:type="dxa"/>
            <w:noWrap w:val="0"/>
            <w:vAlign w:val="center"/>
          </w:tcPr>
          <w:p w14:paraId="2A087B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院领导</w:t>
            </w:r>
          </w:p>
        </w:tc>
        <w:tc>
          <w:tcPr>
            <w:tcW w:w="1887" w:type="dxa"/>
            <w:noWrap w:val="0"/>
            <w:vAlign w:val="center"/>
          </w:tcPr>
          <w:p w14:paraId="162400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40B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985" w:type="dxa"/>
            <w:gridSpan w:val="7"/>
            <w:noWrap w:val="0"/>
            <w:vAlign w:val="center"/>
          </w:tcPr>
          <w:p w14:paraId="7D635D13">
            <w:pPr>
              <w:spacing w:line="240" w:lineRule="auto"/>
              <w:ind w:firstLine="840" w:firstLineChars="4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期：</w:t>
            </w:r>
          </w:p>
        </w:tc>
      </w:tr>
      <w:tr w14:paraId="2508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30" w:type="dxa"/>
            <w:noWrap w:val="0"/>
            <w:vAlign w:val="center"/>
          </w:tcPr>
          <w:p w14:paraId="49989F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 w14:paraId="34FFF545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FB0F3B5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E94735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C5C9FEF-28DD-41E9-92C2-5F0715F78A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B31E"/>
    <w:multiLevelType w:val="multilevel"/>
    <w:tmpl w:val="FFDFB31E"/>
    <w:lvl w:ilvl="0" w:tentative="0">
      <w:start w:val="1"/>
      <w:numFmt w:val="japaneseCounting"/>
      <w:lvlText w:val="（%1）"/>
      <w:lvlJc w:val="left"/>
      <w:pPr>
        <w:tabs>
          <w:tab w:val="left" w:pos="0"/>
        </w:tabs>
        <w:ind w:left="1720" w:hanging="108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4592B"/>
    <w:rsid w:val="0B466DE9"/>
    <w:rsid w:val="0B4F48D2"/>
    <w:rsid w:val="1A194FE3"/>
    <w:rsid w:val="1CD455F2"/>
    <w:rsid w:val="203211B0"/>
    <w:rsid w:val="33B833C9"/>
    <w:rsid w:val="35047A70"/>
    <w:rsid w:val="35696FCA"/>
    <w:rsid w:val="454A05D0"/>
    <w:rsid w:val="6196330A"/>
    <w:rsid w:val="63FA0AD7"/>
    <w:rsid w:val="64237DC2"/>
    <w:rsid w:val="720F72CF"/>
    <w:rsid w:val="737722D7"/>
    <w:rsid w:val="7743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overflowPunct w:val="0"/>
      <w:spacing w:line="360" w:lineRule="auto"/>
      <w:ind w:firstLine="0" w:firstLineChars="0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</w:rPr>
  </w:style>
  <w:style w:type="paragraph" w:styleId="3">
    <w:name w:val="heading 3"/>
    <w:next w:val="1"/>
    <w:qFormat/>
    <w:uiPriority w:val="0"/>
    <w:pPr>
      <w:widowControl w:val="0"/>
      <w:overflowPunct w:val="0"/>
      <w:spacing w:line="360" w:lineRule="auto"/>
      <w:jc w:val="center"/>
      <w:outlineLvl w:val="2"/>
    </w:pPr>
    <w:rPr>
      <w:rFonts w:ascii="宋体" w:hAnsi="宋体" w:eastAsia="宋体" w:cs="宋体"/>
      <w:b/>
      <w:bCs/>
      <w:snapToGrid w:val="0"/>
      <w:kern w:val="2"/>
      <w:sz w:val="24"/>
      <w:szCs w:val="24"/>
      <w:lang w:val="zh-CN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3653</Words>
  <Characters>3657</Characters>
  <Lines>0</Lines>
  <Paragraphs>0</Paragraphs>
  <TotalTime>9</TotalTime>
  <ScaleCrop>false</ScaleCrop>
  <LinksUpToDate>false</LinksUpToDate>
  <CharactersWithSpaces>3761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2025-11-07T06:57:00Z</dcterms:created>
  <dc:creator>Administrator</dc:creator>
  <cp:lastModifiedBy>Cecilia</cp:lastModifiedBy>
  <dcterms:modified xsi:type="dcterms:W3CDTF">2025-11-18T03:49:10Z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eyJoZGlkIjoiY2Q3OTU3ODFiOGUyOTIwZGE3YWZhMjUyZWUyZDU4ZTIiLCJ1c2VySWQiOiIxMTIyOTI1MjY5In0=</vt:lpwstr>
  </property>
  <property fmtid="{D5CDD505-2E9C-101B-9397-08002B2CF9AE}" pid="4" name="ICV">
    <vt:lpwstr>DCA88DCB65AE4853A2EFA216CA713E55_12</vt:lpwstr>
  </property>
</Properties>
</file>