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B9139">
      <w:pPr>
        <w:pStyle w:val="3"/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三亚学院实验室综合评估要点（试行）</w:t>
      </w:r>
    </w:p>
    <w:p w14:paraId="38C0C00D">
      <w:pPr>
        <w:jc w:val="center"/>
        <w:rPr>
          <w:rFonts w:hint="eastAsia"/>
          <w:vertAlign w:val="baseline"/>
          <w:lang w:val="en-US"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3140"/>
        <w:gridCol w:w="5898"/>
        <w:gridCol w:w="1209"/>
      </w:tblGrid>
      <w:tr w14:paraId="1A963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Align w:val="center"/>
          </w:tcPr>
          <w:p w14:paraId="18AA26B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3140" w:type="dxa"/>
            <w:vAlign w:val="center"/>
          </w:tcPr>
          <w:p w14:paraId="2C0E7DC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二级指标</w:t>
            </w:r>
          </w:p>
        </w:tc>
        <w:tc>
          <w:tcPr>
            <w:tcW w:w="5898" w:type="dxa"/>
            <w:vAlign w:val="center"/>
          </w:tcPr>
          <w:p w14:paraId="360C209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支撑材料</w:t>
            </w:r>
          </w:p>
        </w:tc>
        <w:tc>
          <w:tcPr>
            <w:tcW w:w="1209" w:type="dxa"/>
            <w:vAlign w:val="center"/>
          </w:tcPr>
          <w:p w14:paraId="4570911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3E33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restart"/>
            <w:vAlign w:val="center"/>
          </w:tcPr>
          <w:p w14:paraId="1C6C0B92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1实验室管理责任体系</w:t>
            </w:r>
          </w:p>
        </w:tc>
        <w:tc>
          <w:tcPr>
            <w:tcW w:w="3140" w:type="dxa"/>
            <w:vAlign w:val="center"/>
          </w:tcPr>
          <w:p w14:paraId="6DE1EE3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1.1实验室管理（重点安全管理）纳入学院重点工作</w:t>
            </w:r>
          </w:p>
        </w:tc>
        <w:tc>
          <w:tcPr>
            <w:tcW w:w="5898" w:type="dxa"/>
            <w:vAlign w:val="center"/>
          </w:tcPr>
          <w:p w14:paraId="4A668E3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学院相关会议纪要，内容包含实验室日常管理和安全管理工作</w:t>
            </w:r>
          </w:p>
        </w:tc>
        <w:tc>
          <w:tcPr>
            <w:tcW w:w="1209" w:type="dxa"/>
            <w:vMerge w:val="restart"/>
            <w:vAlign w:val="center"/>
          </w:tcPr>
          <w:p w14:paraId="6D6375E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</w:tr>
      <w:tr w14:paraId="0110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64FCBDC9">
            <w:pPr>
              <w:jc w:val="left"/>
              <w:rPr>
                <w:vertAlign w:val="baseline"/>
              </w:rPr>
            </w:pPr>
          </w:p>
        </w:tc>
        <w:tc>
          <w:tcPr>
            <w:tcW w:w="3140" w:type="dxa"/>
            <w:vAlign w:val="center"/>
          </w:tcPr>
          <w:p w14:paraId="3B921C1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1.2明确实验室（安全）管理工作队伍</w:t>
            </w:r>
          </w:p>
        </w:tc>
        <w:tc>
          <w:tcPr>
            <w:tcW w:w="5898" w:type="dxa"/>
            <w:vAlign w:val="center"/>
          </w:tcPr>
          <w:p w14:paraId="5F9B523C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成立实验室安全管理小组院级发文</w:t>
            </w:r>
          </w:p>
        </w:tc>
        <w:tc>
          <w:tcPr>
            <w:tcW w:w="1209" w:type="dxa"/>
            <w:vMerge w:val="continue"/>
            <w:vAlign w:val="center"/>
          </w:tcPr>
          <w:p w14:paraId="7C2019D5">
            <w:pPr>
              <w:jc w:val="center"/>
              <w:rPr>
                <w:vertAlign w:val="baseline"/>
              </w:rPr>
            </w:pPr>
          </w:p>
        </w:tc>
      </w:tr>
      <w:tr w14:paraId="4C8B8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4BE59248">
            <w:pPr>
              <w:jc w:val="left"/>
              <w:rPr>
                <w:vertAlign w:val="baseline"/>
              </w:rPr>
            </w:pPr>
          </w:p>
        </w:tc>
        <w:tc>
          <w:tcPr>
            <w:tcW w:w="3140" w:type="dxa"/>
            <w:vAlign w:val="center"/>
          </w:tcPr>
          <w:p w14:paraId="47E4FE91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1.3签订实验室安全责任书</w:t>
            </w:r>
          </w:p>
        </w:tc>
        <w:tc>
          <w:tcPr>
            <w:tcW w:w="5898" w:type="dxa"/>
            <w:vAlign w:val="center"/>
          </w:tcPr>
          <w:p w14:paraId="6419EEF5"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安全责任书（院/校/实验室）</w:t>
            </w:r>
          </w:p>
        </w:tc>
        <w:tc>
          <w:tcPr>
            <w:tcW w:w="1209" w:type="dxa"/>
            <w:vMerge w:val="continue"/>
            <w:vAlign w:val="center"/>
          </w:tcPr>
          <w:p w14:paraId="656F506C">
            <w:pPr>
              <w:jc w:val="center"/>
              <w:rPr>
                <w:vertAlign w:val="baseline"/>
              </w:rPr>
            </w:pPr>
          </w:p>
        </w:tc>
      </w:tr>
      <w:tr w14:paraId="5ACF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0FE468CD">
            <w:pPr>
              <w:jc w:val="left"/>
              <w:rPr>
                <w:vertAlign w:val="baseline"/>
              </w:rPr>
            </w:pPr>
          </w:p>
        </w:tc>
        <w:tc>
          <w:tcPr>
            <w:tcW w:w="3140" w:type="dxa"/>
            <w:vAlign w:val="center"/>
          </w:tcPr>
          <w:p w14:paraId="075B282B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1.4落实并执行实验室管理工作考核机制</w:t>
            </w:r>
          </w:p>
        </w:tc>
        <w:tc>
          <w:tcPr>
            <w:tcW w:w="5898" w:type="dxa"/>
            <w:vAlign w:val="center"/>
          </w:tcPr>
          <w:p w14:paraId="2F06F1C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日常出勤、培训参与情况、实验室日常管理与建设参与情况等</w:t>
            </w:r>
          </w:p>
        </w:tc>
        <w:tc>
          <w:tcPr>
            <w:tcW w:w="1209" w:type="dxa"/>
            <w:vMerge w:val="continue"/>
            <w:vAlign w:val="center"/>
          </w:tcPr>
          <w:p w14:paraId="775FDCC4">
            <w:pPr>
              <w:jc w:val="center"/>
              <w:rPr>
                <w:vertAlign w:val="baseline"/>
              </w:rPr>
            </w:pPr>
          </w:p>
        </w:tc>
      </w:tr>
      <w:tr w14:paraId="6C14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7155FB31">
            <w:pPr>
              <w:jc w:val="left"/>
              <w:rPr>
                <w:vertAlign w:val="baseline"/>
              </w:rPr>
            </w:pPr>
          </w:p>
        </w:tc>
        <w:tc>
          <w:tcPr>
            <w:tcW w:w="3140" w:type="dxa"/>
            <w:vAlign w:val="center"/>
          </w:tcPr>
          <w:p w14:paraId="39E8370F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1.5实验室建设经费投入情况</w:t>
            </w:r>
          </w:p>
        </w:tc>
        <w:tc>
          <w:tcPr>
            <w:tcW w:w="5898" w:type="dxa"/>
            <w:vAlign w:val="center"/>
          </w:tcPr>
          <w:p w14:paraId="666A8C1A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专项经费使用情况（耗材经费）</w:t>
            </w:r>
          </w:p>
          <w:p w14:paraId="0D230BC2"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培训经费</w:t>
            </w:r>
          </w:p>
          <w:p w14:paraId="54AC0BDB"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安全经费（劳动保护）</w:t>
            </w:r>
          </w:p>
          <w:p w14:paraId="3F60C62B"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实验整改、软装</w:t>
            </w:r>
          </w:p>
          <w:p w14:paraId="113D0527"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实验室安全文化建设</w:t>
            </w:r>
          </w:p>
          <w:p w14:paraId="74C5D704"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实验室思政文化建设</w:t>
            </w:r>
          </w:p>
        </w:tc>
        <w:tc>
          <w:tcPr>
            <w:tcW w:w="1209" w:type="dxa"/>
            <w:vMerge w:val="continue"/>
            <w:vAlign w:val="center"/>
          </w:tcPr>
          <w:p w14:paraId="12C547E2">
            <w:pPr>
              <w:jc w:val="center"/>
              <w:rPr>
                <w:vertAlign w:val="baseline"/>
              </w:rPr>
            </w:pPr>
          </w:p>
        </w:tc>
      </w:tr>
      <w:tr w14:paraId="5B29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6905CF45">
            <w:pPr>
              <w:jc w:val="left"/>
              <w:rPr>
                <w:vertAlign w:val="baseline"/>
              </w:rPr>
            </w:pPr>
          </w:p>
        </w:tc>
        <w:tc>
          <w:tcPr>
            <w:tcW w:w="3140" w:type="dxa"/>
            <w:vAlign w:val="center"/>
          </w:tcPr>
          <w:p w14:paraId="53F401A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1.6队伍建设</w:t>
            </w:r>
          </w:p>
        </w:tc>
        <w:tc>
          <w:tcPr>
            <w:tcW w:w="5898" w:type="dxa"/>
            <w:vAlign w:val="center"/>
          </w:tcPr>
          <w:p w14:paraId="587B1AF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有培训记录（证书、新闻等）</w:t>
            </w:r>
          </w:p>
          <w:p w14:paraId="7B75E98B"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提升实验室管理水平培训记录</w:t>
            </w:r>
          </w:p>
          <w:p w14:paraId="1CC0135E"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安全教育培训记录</w:t>
            </w:r>
          </w:p>
          <w:p w14:paraId="33DE3AE0"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应急演练活动记录</w:t>
            </w:r>
          </w:p>
        </w:tc>
        <w:tc>
          <w:tcPr>
            <w:tcW w:w="1209" w:type="dxa"/>
            <w:vMerge w:val="continue"/>
            <w:vAlign w:val="center"/>
          </w:tcPr>
          <w:p w14:paraId="07AEC176">
            <w:pPr>
              <w:jc w:val="center"/>
              <w:rPr>
                <w:vertAlign w:val="baseline"/>
              </w:rPr>
            </w:pPr>
          </w:p>
        </w:tc>
      </w:tr>
      <w:tr w14:paraId="59811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2279" w:type="dxa"/>
            <w:vMerge w:val="restart"/>
            <w:vAlign w:val="center"/>
          </w:tcPr>
          <w:p w14:paraId="0B2EEA40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2学院规章制度</w:t>
            </w:r>
          </w:p>
        </w:tc>
        <w:tc>
          <w:tcPr>
            <w:tcW w:w="3140" w:type="dxa"/>
            <w:vAlign w:val="center"/>
          </w:tcPr>
          <w:p w14:paraId="76ACF6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2.1安全管理制度</w:t>
            </w:r>
          </w:p>
        </w:tc>
        <w:tc>
          <w:tcPr>
            <w:tcW w:w="5898" w:type="dxa"/>
            <w:vMerge w:val="restart"/>
            <w:vAlign w:val="center"/>
          </w:tcPr>
          <w:p w14:paraId="7E30F011">
            <w:pPr>
              <w:numPr>
                <w:ilvl w:val="0"/>
                <w:numId w:val="3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院级管理制度经审核有正规发文</w:t>
            </w:r>
          </w:p>
          <w:p w14:paraId="5F244241">
            <w:pPr>
              <w:numPr>
                <w:ilvl w:val="0"/>
                <w:numId w:val="3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管理制度应根据学院专业特性做到全面覆盖，不留管理真空地带</w:t>
            </w:r>
          </w:p>
          <w:p w14:paraId="0E9B224C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汇编成集并装订成册（2年更新一次）</w:t>
            </w:r>
          </w:p>
          <w:p w14:paraId="5D9E28EE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耗材库存、使用台账</w:t>
            </w:r>
          </w:p>
        </w:tc>
        <w:tc>
          <w:tcPr>
            <w:tcW w:w="1209" w:type="dxa"/>
            <w:vMerge w:val="restart"/>
            <w:vAlign w:val="center"/>
          </w:tcPr>
          <w:p w14:paraId="0A6F382A">
            <w:pPr>
              <w:jc w:val="center"/>
              <w:rPr>
                <w:vertAlign w:val="baseline"/>
              </w:rPr>
            </w:pPr>
          </w:p>
        </w:tc>
      </w:tr>
      <w:tr w14:paraId="079C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4EF6531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47DF2D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2.2仪器设备管理制度</w:t>
            </w:r>
          </w:p>
        </w:tc>
        <w:tc>
          <w:tcPr>
            <w:tcW w:w="5898" w:type="dxa"/>
            <w:vMerge w:val="continue"/>
            <w:vAlign w:val="center"/>
          </w:tcPr>
          <w:p w14:paraId="7214CCD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Merge w:val="continue"/>
            <w:vAlign w:val="center"/>
          </w:tcPr>
          <w:p w14:paraId="49A363FB">
            <w:pPr>
              <w:jc w:val="center"/>
              <w:rPr>
                <w:vertAlign w:val="baseline"/>
              </w:rPr>
            </w:pPr>
          </w:p>
        </w:tc>
      </w:tr>
      <w:tr w14:paraId="17CB4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2EDF5721">
            <w:pPr>
              <w:jc w:val="left"/>
            </w:pPr>
          </w:p>
        </w:tc>
        <w:tc>
          <w:tcPr>
            <w:tcW w:w="3140" w:type="dxa"/>
            <w:vAlign w:val="center"/>
          </w:tcPr>
          <w:p w14:paraId="62B00D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2.3耗材管理制度</w:t>
            </w:r>
          </w:p>
        </w:tc>
        <w:tc>
          <w:tcPr>
            <w:tcW w:w="5898" w:type="dxa"/>
            <w:vMerge w:val="continue"/>
            <w:vAlign w:val="center"/>
          </w:tcPr>
          <w:p w14:paraId="7315F75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Merge w:val="continue"/>
            <w:vAlign w:val="center"/>
          </w:tcPr>
          <w:p w14:paraId="164D475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A045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DDCD05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7A8007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2.4专项管理制度</w:t>
            </w:r>
          </w:p>
        </w:tc>
        <w:tc>
          <w:tcPr>
            <w:tcW w:w="5898" w:type="dxa"/>
            <w:vMerge w:val="continue"/>
            <w:vAlign w:val="center"/>
          </w:tcPr>
          <w:p w14:paraId="0CDE5DE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09" w:type="dxa"/>
            <w:vMerge w:val="continue"/>
            <w:vAlign w:val="center"/>
          </w:tcPr>
          <w:p w14:paraId="3C584DB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A4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restart"/>
            <w:vAlign w:val="center"/>
          </w:tcPr>
          <w:p w14:paraId="3505961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73A8A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88365C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70EFC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D74E9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4CC0CF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EE26A4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B61FF8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293F51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D1F95F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84EA80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F010DB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3实验室安全管理</w:t>
            </w:r>
          </w:p>
          <w:p w14:paraId="601CA0A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23C1B57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2EAB9E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202DBF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929B8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2FC21AD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E9C4B4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F8B0B9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33D9D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935167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3503D8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BD79A6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DD782E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49A3BB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FE0412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B49C8B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E035A6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D019DD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8375BE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8B1277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022A1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F4E3E3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672890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745F1C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AF040E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97A750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3E681F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3实验室安全管理</w:t>
            </w:r>
          </w:p>
          <w:p w14:paraId="0B0B596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20DF3C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E99500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2DEF002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1C279F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CC6B6D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7E7C59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39105B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30A65C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F0D7B1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C378B7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4B5E80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6419F6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151FDAE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57C19F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FB776F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453B7D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F79B36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260907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1252F0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2CF888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D9E8E2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494B8D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7FB74D0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3实验室安全管理</w:t>
            </w:r>
          </w:p>
          <w:p w14:paraId="1851F79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DA9DEC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A48380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12680A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47B9909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72FF3E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14D13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7162082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3.1实验室安全风险评估</w:t>
            </w:r>
          </w:p>
        </w:tc>
        <w:tc>
          <w:tcPr>
            <w:tcW w:w="5898" w:type="dxa"/>
            <w:vAlign w:val="center"/>
          </w:tcPr>
          <w:p w14:paraId="0C7A759A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实验室应进行危险源辨识、风险评估和控制，并填报《三亚学院实验室分级分类认定表》。</w:t>
            </w:r>
          </w:p>
        </w:tc>
        <w:tc>
          <w:tcPr>
            <w:tcW w:w="1209" w:type="dxa"/>
            <w:vMerge w:val="restart"/>
            <w:vAlign w:val="center"/>
          </w:tcPr>
          <w:p w14:paraId="6582259E">
            <w:pPr>
              <w:jc w:val="center"/>
              <w:rPr>
                <w:vertAlign w:val="baseline"/>
              </w:rPr>
            </w:pPr>
          </w:p>
        </w:tc>
      </w:tr>
      <w:tr w14:paraId="2901F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4E91663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74B6C39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3.2人员安全准入</w:t>
            </w:r>
          </w:p>
        </w:tc>
        <w:tc>
          <w:tcPr>
            <w:tcW w:w="5898" w:type="dxa"/>
            <w:vAlign w:val="center"/>
          </w:tcPr>
          <w:p w14:paraId="11FB8758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教师准入：实验室授课教师应定时参加实验室安全管理培训，严格遵守并执行实验室各项安全管理规定（培训记录+实验室工作日志）</w:t>
            </w:r>
          </w:p>
        </w:tc>
        <w:tc>
          <w:tcPr>
            <w:tcW w:w="1209" w:type="dxa"/>
            <w:vMerge w:val="continue"/>
            <w:vAlign w:val="center"/>
          </w:tcPr>
          <w:p w14:paraId="4E3E94B4">
            <w:pPr>
              <w:jc w:val="center"/>
              <w:rPr>
                <w:vertAlign w:val="baseline"/>
              </w:rPr>
            </w:pPr>
          </w:p>
        </w:tc>
      </w:tr>
      <w:tr w14:paraId="46351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539334F">
            <w:pPr>
              <w:ind w:leftChars="0"/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75148DC7">
            <w:pPr>
              <w:ind w:leftChars="0"/>
              <w:jc w:val="left"/>
            </w:pPr>
          </w:p>
        </w:tc>
        <w:tc>
          <w:tcPr>
            <w:tcW w:w="5898" w:type="dxa"/>
            <w:vAlign w:val="center"/>
          </w:tcPr>
          <w:p w14:paraId="32D47E7B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学生准入：进入实验室的学生全部都要参加实验室安全准入考试（考试通知+成绩单+试卷）</w:t>
            </w:r>
          </w:p>
        </w:tc>
        <w:tc>
          <w:tcPr>
            <w:tcW w:w="1209" w:type="dxa"/>
            <w:vMerge w:val="continue"/>
            <w:vAlign w:val="center"/>
          </w:tcPr>
          <w:p w14:paraId="23D59628">
            <w:p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092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CD50A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6F68B8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3.3危险源辨识</w:t>
            </w:r>
          </w:p>
        </w:tc>
        <w:tc>
          <w:tcPr>
            <w:tcW w:w="5898" w:type="dxa"/>
            <w:vAlign w:val="center"/>
          </w:tcPr>
          <w:p w14:paraId="7D4CD8F7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明确危险源分布的实验室（学院实验室安全分级分类清单—有地点、类别、责任人、联系方式</w:t>
            </w:r>
          </w:p>
        </w:tc>
        <w:tc>
          <w:tcPr>
            <w:tcW w:w="1209" w:type="dxa"/>
            <w:vMerge w:val="continue"/>
            <w:vAlign w:val="center"/>
          </w:tcPr>
          <w:p w14:paraId="18BD7D35">
            <w:pPr>
              <w:jc w:val="center"/>
              <w:rPr>
                <w:vertAlign w:val="baseline"/>
              </w:rPr>
            </w:pPr>
          </w:p>
        </w:tc>
      </w:tr>
      <w:tr w14:paraId="1ADB5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F231819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50C5353F">
            <w:pPr>
              <w:jc w:val="left"/>
            </w:pPr>
          </w:p>
        </w:tc>
        <w:tc>
          <w:tcPr>
            <w:tcW w:w="5898" w:type="dxa"/>
            <w:vAlign w:val="center"/>
          </w:tcPr>
          <w:p w14:paraId="0863CA97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危险源处张贴警示标识</w:t>
            </w:r>
          </w:p>
        </w:tc>
        <w:tc>
          <w:tcPr>
            <w:tcW w:w="1209" w:type="dxa"/>
            <w:vMerge w:val="continue"/>
            <w:vAlign w:val="center"/>
          </w:tcPr>
          <w:p w14:paraId="79AF56B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01E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F33AE4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3080D51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7E3766AB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张贴应急管理制度或应急预案</w:t>
            </w:r>
          </w:p>
        </w:tc>
        <w:tc>
          <w:tcPr>
            <w:tcW w:w="1209" w:type="dxa"/>
            <w:vMerge w:val="continue"/>
            <w:vAlign w:val="center"/>
          </w:tcPr>
          <w:p w14:paraId="1C291F5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0D9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DFFE03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2CC118E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3.4安全检查</w:t>
            </w:r>
          </w:p>
        </w:tc>
        <w:tc>
          <w:tcPr>
            <w:tcW w:w="5898" w:type="dxa"/>
            <w:vAlign w:val="center"/>
          </w:tcPr>
          <w:p w14:paraId="20DD2FE6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根据实验室管理中心工作安排，按要求每年开展不少于4次的高级别实验室安全检查，撰写整改报告，限时完成整改。（整改通知单+整改报告）</w:t>
            </w:r>
          </w:p>
        </w:tc>
        <w:tc>
          <w:tcPr>
            <w:tcW w:w="1209" w:type="dxa"/>
            <w:vMerge w:val="continue"/>
            <w:vAlign w:val="center"/>
          </w:tcPr>
          <w:p w14:paraId="6E159753">
            <w:pPr>
              <w:jc w:val="center"/>
              <w:rPr>
                <w:vertAlign w:val="baseline"/>
              </w:rPr>
            </w:pPr>
          </w:p>
        </w:tc>
      </w:tr>
      <w:tr w14:paraId="4104C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4F1DE4F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777D7F13">
            <w:pPr>
              <w:jc w:val="left"/>
            </w:pPr>
          </w:p>
        </w:tc>
        <w:tc>
          <w:tcPr>
            <w:tcW w:w="5898" w:type="dxa"/>
            <w:vAlign w:val="center"/>
          </w:tcPr>
          <w:p w14:paraId="520FC56C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学院开展定期安全巡查工作，每月1次，建立实验室安全检查工作台账，及时解决台账记录的问题。（安全检查台账）</w:t>
            </w:r>
          </w:p>
        </w:tc>
        <w:tc>
          <w:tcPr>
            <w:tcW w:w="1209" w:type="dxa"/>
            <w:vMerge w:val="continue"/>
            <w:vAlign w:val="center"/>
          </w:tcPr>
          <w:p w14:paraId="79C23E4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CE95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EC8198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6252886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3.5实验场所</w:t>
            </w:r>
          </w:p>
        </w:tc>
        <w:tc>
          <w:tcPr>
            <w:tcW w:w="5898" w:type="dxa"/>
            <w:vAlign w:val="center"/>
          </w:tcPr>
          <w:p w14:paraId="4345FF88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每个实验门口应在显著位置悬挂安全信息牌，信息包括：实验室分级分类结果、安全风险警示标识、安全责任人、设计危险类别、防护措施和有效的应急联系电话。</w:t>
            </w:r>
          </w:p>
        </w:tc>
        <w:tc>
          <w:tcPr>
            <w:tcW w:w="1209" w:type="dxa"/>
            <w:vMerge w:val="continue"/>
            <w:vAlign w:val="center"/>
          </w:tcPr>
          <w:p w14:paraId="55F294EC">
            <w:pPr>
              <w:jc w:val="center"/>
              <w:rPr>
                <w:vertAlign w:val="baseline"/>
              </w:rPr>
            </w:pPr>
          </w:p>
        </w:tc>
      </w:tr>
      <w:tr w14:paraId="5CA6A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67531C0B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0D4F9279">
            <w:pPr>
              <w:jc w:val="left"/>
            </w:pPr>
          </w:p>
        </w:tc>
        <w:tc>
          <w:tcPr>
            <w:tcW w:w="5898" w:type="dxa"/>
            <w:vAlign w:val="center"/>
          </w:tcPr>
          <w:p w14:paraId="23990F89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布局合理，75㎡以上的实验室要具备2个实验室出入口，不得占用、堵塞实验室出入口和消防通道</w:t>
            </w:r>
          </w:p>
        </w:tc>
        <w:tc>
          <w:tcPr>
            <w:tcW w:w="1209" w:type="dxa"/>
            <w:vMerge w:val="continue"/>
            <w:vAlign w:val="center"/>
          </w:tcPr>
          <w:p w14:paraId="4FB1BCA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BCB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0E2737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6222F7C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02B82AC7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不使用的配电箱、插座、水路、气路、网线等要及时拆除或封闭。</w:t>
            </w:r>
          </w:p>
        </w:tc>
        <w:tc>
          <w:tcPr>
            <w:tcW w:w="1209" w:type="dxa"/>
            <w:vMerge w:val="continue"/>
            <w:vAlign w:val="center"/>
          </w:tcPr>
          <w:p w14:paraId="1E72C3C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C4E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1DCFEE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1CADA9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5E74C835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实验室门上应具备观察窗，外开门不得阻挡逃生路径</w:t>
            </w:r>
          </w:p>
        </w:tc>
        <w:tc>
          <w:tcPr>
            <w:tcW w:w="1209" w:type="dxa"/>
            <w:vMerge w:val="continue"/>
            <w:vAlign w:val="center"/>
          </w:tcPr>
          <w:p w14:paraId="124C8EE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403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4C3C1A6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6977D71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1DCBE66C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实验室应急备用钥匙须集中存放、管理，应急时方便取用。</w:t>
            </w:r>
          </w:p>
        </w:tc>
        <w:tc>
          <w:tcPr>
            <w:tcW w:w="1209" w:type="dxa"/>
            <w:vMerge w:val="continue"/>
            <w:vAlign w:val="center"/>
          </w:tcPr>
          <w:p w14:paraId="74215E3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4B7F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FF85E6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0259696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06786186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实验室应配备急救物资（医疗包、箱等）</w:t>
            </w:r>
          </w:p>
        </w:tc>
        <w:tc>
          <w:tcPr>
            <w:tcW w:w="1209" w:type="dxa"/>
            <w:vMerge w:val="continue"/>
            <w:vAlign w:val="center"/>
          </w:tcPr>
          <w:p w14:paraId="09D9606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30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0285DD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5211341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3.6卫生与日常管理</w:t>
            </w:r>
          </w:p>
        </w:tc>
        <w:tc>
          <w:tcPr>
            <w:tcW w:w="5898" w:type="dxa"/>
            <w:vAlign w:val="center"/>
          </w:tcPr>
          <w:p w14:paraId="30C89AD7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实验室分区要相对独立：实验区与学习区明确划分，合理布局。不得将实验器材、药品等放置于生活区或非实验管理区。</w:t>
            </w:r>
          </w:p>
        </w:tc>
        <w:tc>
          <w:tcPr>
            <w:tcW w:w="1209" w:type="dxa"/>
            <w:vMerge w:val="continue"/>
            <w:vAlign w:val="center"/>
          </w:tcPr>
          <w:p w14:paraId="725C2A2E">
            <w:pPr>
              <w:jc w:val="center"/>
              <w:rPr>
                <w:vertAlign w:val="baseline"/>
              </w:rPr>
            </w:pPr>
          </w:p>
        </w:tc>
      </w:tr>
      <w:tr w14:paraId="15067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1632AD1D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7682C1D2">
            <w:pPr>
              <w:jc w:val="left"/>
            </w:pPr>
          </w:p>
        </w:tc>
        <w:tc>
          <w:tcPr>
            <w:tcW w:w="5898" w:type="dxa"/>
            <w:vAlign w:val="center"/>
          </w:tcPr>
          <w:p w14:paraId="36166631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实验室环境应整洁卫生有序：无废弃物品，不放无关物品。不在实验室睡觉，不存放和烧煮食物、饮食，禁止吸烟、禁放置持续可燃性杂物（纸箱等）。</w:t>
            </w:r>
          </w:p>
        </w:tc>
        <w:tc>
          <w:tcPr>
            <w:tcW w:w="1209" w:type="dxa"/>
            <w:vMerge w:val="continue"/>
            <w:vAlign w:val="center"/>
          </w:tcPr>
          <w:p w14:paraId="620DED4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9BD5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42DA8BD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79C9ED0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4B9BB64B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张贴卫生安全管理制度，落实日常卫生责任 。（实验室工作日志）</w:t>
            </w:r>
          </w:p>
        </w:tc>
        <w:tc>
          <w:tcPr>
            <w:tcW w:w="1209" w:type="dxa"/>
            <w:vMerge w:val="continue"/>
            <w:vAlign w:val="center"/>
          </w:tcPr>
          <w:p w14:paraId="389B814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108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25E0E13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5ABB9E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3.7安全消防设施</w:t>
            </w:r>
          </w:p>
        </w:tc>
        <w:tc>
          <w:tcPr>
            <w:tcW w:w="5898" w:type="dxa"/>
            <w:vAlign w:val="center"/>
          </w:tcPr>
          <w:p w14:paraId="4784E100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每个实验室应配备合适的灭火器，确保灭火器在有效期内，按时检查同时登记并张贴检查记录。</w:t>
            </w:r>
          </w:p>
        </w:tc>
        <w:tc>
          <w:tcPr>
            <w:tcW w:w="1209" w:type="dxa"/>
            <w:vMerge w:val="continue"/>
            <w:vAlign w:val="center"/>
          </w:tcPr>
          <w:p w14:paraId="3584215E">
            <w:pPr>
              <w:jc w:val="center"/>
              <w:rPr>
                <w:vertAlign w:val="baseline"/>
              </w:rPr>
            </w:pPr>
          </w:p>
        </w:tc>
      </w:tr>
      <w:tr w14:paraId="34D36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5D8A9B5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6507F8EA">
            <w:pPr>
              <w:jc w:val="left"/>
            </w:pPr>
          </w:p>
        </w:tc>
        <w:tc>
          <w:tcPr>
            <w:tcW w:w="5898" w:type="dxa"/>
            <w:vAlign w:val="center"/>
          </w:tcPr>
          <w:p w14:paraId="4555BAEB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消防器材需种类配置准确，放置于明显且易于取用的位置并张贴显著标识，不可随意摆放和挪动</w:t>
            </w:r>
          </w:p>
        </w:tc>
        <w:tc>
          <w:tcPr>
            <w:tcW w:w="1209" w:type="dxa"/>
            <w:vMerge w:val="continue"/>
            <w:vAlign w:val="center"/>
          </w:tcPr>
          <w:p w14:paraId="1D5869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CB4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6A073B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275D55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78021896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在显著位置张贴有紧急逃生疏散路线图，路线与现场情况符合，具有紧急照明灯且功能正常并设置有效标志指示逃生方向。</w:t>
            </w:r>
          </w:p>
        </w:tc>
        <w:tc>
          <w:tcPr>
            <w:tcW w:w="1209" w:type="dxa"/>
            <w:vMerge w:val="continue"/>
            <w:vAlign w:val="center"/>
          </w:tcPr>
          <w:p w14:paraId="064AFC3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170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E9ACD3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5268943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3A421BA9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具备应急喷淋与洗眼装置的实验室应在装置区域有显著标识，定期维护确保水压正常，具有定期检查记录。</w:t>
            </w:r>
          </w:p>
        </w:tc>
        <w:tc>
          <w:tcPr>
            <w:tcW w:w="1209" w:type="dxa"/>
            <w:vMerge w:val="continue"/>
            <w:vAlign w:val="center"/>
          </w:tcPr>
          <w:p w14:paraId="1048633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FAE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21FE4B0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2FA8C4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3.8门禁与监控</w:t>
            </w:r>
          </w:p>
        </w:tc>
        <w:tc>
          <w:tcPr>
            <w:tcW w:w="5898" w:type="dxa"/>
            <w:vAlign w:val="center"/>
          </w:tcPr>
          <w:p w14:paraId="3754F504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重点场所（药品仓库、化学品贮藏间、耗材仓库、气瓶间、不间断电源房间、空调长期运行房间等）应设置门禁并有专人管理。</w:t>
            </w:r>
          </w:p>
        </w:tc>
        <w:tc>
          <w:tcPr>
            <w:tcW w:w="1209" w:type="dxa"/>
            <w:vMerge w:val="continue"/>
            <w:vAlign w:val="center"/>
          </w:tcPr>
          <w:p w14:paraId="4C41E9B9">
            <w:pPr>
              <w:jc w:val="center"/>
              <w:rPr>
                <w:vertAlign w:val="baseline"/>
              </w:rPr>
            </w:pPr>
          </w:p>
        </w:tc>
      </w:tr>
      <w:tr w14:paraId="0A3B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1F1652A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302E3D66">
            <w:pPr>
              <w:jc w:val="left"/>
            </w:pPr>
          </w:p>
        </w:tc>
        <w:tc>
          <w:tcPr>
            <w:tcW w:w="5898" w:type="dxa"/>
            <w:vAlign w:val="center"/>
          </w:tcPr>
          <w:p w14:paraId="49075F78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重点场所应具有可查出入记录（监控设备完好，视频清晰可见）。</w:t>
            </w:r>
          </w:p>
        </w:tc>
        <w:tc>
          <w:tcPr>
            <w:tcW w:w="1209" w:type="dxa"/>
            <w:vMerge w:val="continue"/>
            <w:vAlign w:val="center"/>
          </w:tcPr>
          <w:p w14:paraId="3D3E386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564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AEAD69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3FB291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3.9个人防护</w:t>
            </w:r>
          </w:p>
        </w:tc>
        <w:tc>
          <w:tcPr>
            <w:tcW w:w="5898" w:type="dxa"/>
            <w:vAlign w:val="center"/>
          </w:tcPr>
          <w:p w14:paraId="28334376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进入实验室人员应穿实验服或防护服。</w:t>
            </w:r>
          </w:p>
        </w:tc>
        <w:tc>
          <w:tcPr>
            <w:tcW w:w="1209" w:type="dxa"/>
            <w:vMerge w:val="continue"/>
            <w:vAlign w:val="center"/>
          </w:tcPr>
          <w:p w14:paraId="349E703B">
            <w:pPr>
              <w:jc w:val="center"/>
              <w:rPr>
                <w:vertAlign w:val="baseline"/>
              </w:rPr>
            </w:pPr>
          </w:p>
        </w:tc>
      </w:tr>
      <w:tr w14:paraId="057C5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854F9D7">
            <w:pPr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67E8AAAD">
            <w:pPr>
              <w:jc w:val="left"/>
            </w:pPr>
          </w:p>
        </w:tc>
        <w:tc>
          <w:tcPr>
            <w:tcW w:w="5898" w:type="dxa"/>
            <w:vAlign w:val="center"/>
          </w:tcPr>
          <w:p w14:paraId="6BB10D90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按需佩戴护目镜、口罩、手套、安全帽等。</w:t>
            </w:r>
          </w:p>
        </w:tc>
        <w:tc>
          <w:tcPr>
            <w:tcW w:w="1209" w:type="dxa"/>
            <w:vMerge w:val="continue"/>
            <w:vAlign w:val="center"/>
          </w:tcPr>
          <w:p w14:paraId="21E378A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2BC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279" w:type="dxa"/>
            <w:vMerge w:val="continue"/>
            <w:vAlign w:val="center"/>
          </w:tcPr>
          <w:p w14:paraId="117E147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5F565B8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0AC6C6AF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定期维护更新防护用具（检查记录+安全经费使用情况）</w:t>
            </w:r>
          </w:p>
        </w:tc>
        <w:tc>
          <w:tcPr>
            <w:tcW w:w="1209" w:type="dxa"/>
            <w:vMerge w:val="continue"/>
            <w:vAlign w:val="center"/>
          </w:tcPr>
          <w:p w14:paraId="2C680DA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7781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768CE88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4ADCAD1A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38B023C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0E0D8234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3.10化学安全管理</w:t>
            </w:r>
          </w:p>
        </w:tc>
        <w:tc>
          <w:tcPr>
            <w:tcW w:w="5898" w:type="dxa"/>
            <w:vAlign w:val="center"/>
          </w:tcPr>
          <w:p w14:paraId="1A5CEA6A"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剧毒品、易制毒、易制爆、爆炸品购买程序合规：购买前经学校审批，报公安部门批准或备案后，向具有经营许可资质的单位购买，并保留报批及审批记录。</w:t>
            </w:r>
          </w:p>
        </w:tc>
        <w:tc>
          <w:tcPr>
            <w:tcW w:w="1209" w:type="dxa"/>
            <w:vMerge w:val="continue"/>
            <w:vAlign w:val="center"/>
          </w:tcPr>
          <w:p w14:paraId="4541905A">
            <w:pPr>
              <w:jc w:val="center"/>
              <w:rPr>
                <w:vertAlign w:val="baseline"/>
              </w:rPr>
            </w:pPr>
          </w:p>
        </w:tc>
      </w:tr>
      <w:tr w14:paraId="0005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6F1EF69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27E9E288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4277060C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建立购买、验收、使用等台账资料。（独立记录本）</w:t>
            </w:r>
          </w:p>
        </w:tc>
        <w:tc>
          <w:tcPr>
            <w:tcW w:w="1209" w:type="dxa"/>
            <w:vMerge w:val="continue"/>
            <w:vAlign w:val="center"/>
          </w:tcPr>
          <w:p w14:paraId="4D686B09">
            <w:pPr>
              <w:jc w:val="center"/>
              <w:rPr>
                <w:vertAlign w:val="baseline"/>
              </w:rPr>
            </w:pPr>
          </w:p>
        </w:tc>
      </w:tr>
      <w:tr w14:paraId="66D0D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79" w:type="dxa"/>
            <w:vMerge w:val="continue"/>
            <w:vAlign w:val="center"/>
          </w:tcPr>
          <w:p w14:paraId="05580A6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51DCAAA6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5CF81CE8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建立实验室危险化学品动态台账，并配有危险化学药品安全技术说明书（SDS），方便查阅。（独立台账本）</w:t>
            </w:r>
          </w:p>
        </w:tc>
        <w:tc>
          <w:tcPr>
            <w:tcW w:w="1209" w:type="dxa"/>
            <w:vMerge w:val="continue"/>
            <w:vAlign w:val="center"/>
          </w:tcPr>
          <w:p w14:paraId="6A7D308C">
            <w:pPr>
              <w:jc w:val="center"/>
              <w:rPr>
                <w:vertAlign w:val="baseline"/>
              </w:rPr>
            </w:pPr>
          </w:p>
        </w:tc>
      </w:tr>
      <w:tr w14:paraId="7A58F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ED65F7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1989C532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68EF0CA1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定期清理废旧试剂，为累积现象。</w:t>
            </w:r>
          </w:p>
        </w:tc>
        <w:tc>
          <w:tcPr>
            <w:tcW w:w="1209" w:type="dxa"/>
            <w:vMerge w:val="continue"/>
            <w:vAlign w:val="center"/>
          </w:tcPr>
          <w:p w14:paraId="0D0FD811">
            <w:pPr>
              <w:jc w:val="center"/>
              <w:rPr>
                <w:vertAlign w:val="baseline"/>
              </w:rPr>
            </w:pPr>
          </w:p>
        </w:tc>
      </w:tr>
      <w:tr w14:paraId="2959F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DFB5E72">
            <w:pPr>
              <w:ind w:left="0" w:leftChars="0" w:firstLine="0" w:firstLineChars="0"/>
              <w:jc w:val="left"/>
            </w:pPr>
          </w:p>
        </w:tc>
        <w:tc>
          <w:tcPr>
            <w:tcW w:w="3140" w:type="dxa"/>
            <w:vMerge w:val="continue"/>
            <w:vAlign w:val="center"/>
          </w:tcPr>
          <w:p w14:paraId="3A5A5CBB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76AC3497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化学品有序分类存放，固体液体不混乱放置，护卫禁忌的化学品不得混放，试剂不得叠放。有机溶剂远离火源和热源。装有试剂的试剂瓶不得开口放置。实验台无挡板不可存放试剂。</w:t>
            </w:r>
          </w:p>
        </w:tc>
        <w:tc>
          <w:tcPr>
            <w:tcW w:w="1209" w:type="dxa"/>
            <w:vMerge w:val="continue"/>
            <w:vAlign w:val="center"/>
          </w:tcPr>
          <w:p w14:paraId="3B014F9B">
            <w:p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FCF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8E4B60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63B74C8D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6BD0EBCD"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化学品包装、试剂瓶上须有符合要求的化学品标签，转移或分装时及时补充或重新张贴标签，如不能确认按不明废弃化学品处置。</w:t>
            </w:r>
          </w:p>
        </w:tc>
        <w:tc>
          <w:tcPr>
            <w:tcW w:w="1209" w:type="dxa"/>
            <w:vMerge w:val="continue"/>
            <w:vAlign w:val="center"/>
          </w:tcPr>
          <w:p w14:paraId="5D78F646">
            <w:pPr>
              <w:jc w:val="center"/>
              <w:rPr>
                <w:vertAlign w:val="baseline"/>
              </w:rPr>
            </w:pPr>
          </w:p>
        </w:tc>
      </w:tr>
      <w:tr w14:paraId="24CC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79" w:type="dxa"/>
            <w:vMerge w:val="continue"/>
            <w:vAlign w:val="center"/>
          </w:tcPr>
          <w:p w14:paraId="1A3A8492">
            <w:pPr>
              <w:jc w:val="center"/>
            </w:pPr>
          </w:p>
        </w:tc>
        <w:tc>
          <w:tcPr>
            <w:tcW w:w="3140" w:type="dxa"/>
            <w:vMerge w:val="continue"/>
            <w:vAlign w:val="center"/>
          </w:tcPr>
          <w:p w14:paraId="7B9B9F98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480F01F8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化学品标签信息明确（名称、日期、使用人），不得使用饮用水瓶存放化学试剂，如需使用必须撕去原有包装，贴上试剂标签。</w:t>
            </w:r>
          </w:p>
        </w:tc>
        <w:tc>
          <w:tcPr>
            <w:tcW w:w="1209" w:type="dxa"/>
            <w:vMerge w:val="continue"/>
            <w:vAlign w:val="center"/>
          </w:tcPr>
          <w:p w14:paraId="58E889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7701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A9D1F7B">
            <w:pPr>
              <w:ind w:left="0" w:leftChars="0" w:firstLine="0" w:firstLineChars="0"/>
              <w:jc w:val="both"/>
            </w:pPr>
          </w:p>
        </w:tc>
        <w:tc>
          <w:tcPr>
            <w:tcW w:w="3140" w:type="dxa"/>
            <w:vMerge w:val="continue"/>
            <w:vAlign w:val="center"/>
          </w:tcPr>
          <w:p w14:paraId="6E2A992D">
            <w:pPr>
              <w:ind w:left="0" w:leftChars="0" w:firstLine="0" w:firstLineChars="0"/>
              <w:jc w:val="both"/>
            </w:pPr>
          </w:p>
        </w:tc>
        <w:tc>
          <w:tcPr>
            <w:tcW w:w="5898" w:type="dxa"/>
            <w:vAlign w:val="center"/>
          </w:tcPr>
          <w:p w14:paraId="4B6EAC8E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废液、废固分类装入专业容器中，并张贴警示标识，贮存于专设地点，由专业处理厂家进行回收。严禁将实验室废液直接排入下水道。</w:t>
            </w:r>
          </w:p>
        </w:tc>
        <w:tc>
          <w:tcPr>
            <w:tcW w:w="1209" w:type="dxa"/>
            <w:vMerge w:val="continue"/>
            <w:vAlign w:val="center"/>
          </w:tcPr>
          <w:p w14:paraId="4D660B2B">
            <w:pPr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6DE6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D04F7A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3B84EF31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3.11气体安全管理</w:t>
            </w:r>
          </w:p>
        </w:tc>
        <w:tc>
          <w:tcPr>
            <w:tcW w:w="5898" w:type="dxa"/>
            <w:vAlign w:val="center"/>
          </w:tcPr>
          <w:p w14:paraId="5D49EFA1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从合格供应商处采购实验气体，建立气体（气瓶）台账（独立台账本）</w:t>
            </w:r>
          </w:p>
        </w:tc>
        <w:tc>
          <w:tcPr>
            <w:tcW w:w="1209" w:type="dxa"/>
            <w:vMerge w:val="continue"/>
            <w:vAlign w:val="center"/>
          </w:tcPr>
          <w:p w14:paraId="16EEC75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81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0D3F16D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729B81DA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685FD15B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存放地通风、远离热源、避免暴晒、地面平整，合理固定。</w:t>
            </w:r>
          </w:p>
        </w:tc>
        <w:tc>
          <w:tcPr>
            <w:tcW w:w="1209" w:type="dxa"/>
            <w:vMerge w:val="continue"/>
            <w:vAlign w:val="center"/>
          </w:tcPr>
          <w:p w14:paraId="10F6D90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376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A2CC72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32324F8C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35A327F8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张贴必要的安全警示标识、不混放、有监控，有专人管理和管理记录。（单独台账）</w:t>
            </w:r>
          </w:p>
        </w:tc>
        <w:tc>
          <w:tcPr>
            <w:tcW w:w="1209" w:type="dxa"/>
            <w:vMerge w:val="continue"/>
            <w:vAlign w:val="center"/>
          </w:tcPr>
          <w:p w14:paraId="230262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F2C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D3D52B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restart"/>
            <w:vAlign w:val="center"/>
          </w:tcPr>
          <w:p w14:paraId="3CD52A94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097C1C1F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333297E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1390CDA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009BAB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3.12机械安全管理</w:t>
            </w:r>
          </w:p>
        </w:tc>
        <w:tc>
          <w:tcPr>
            <w:tcW w:w="5898" w:type="dxa"/>
            <w:vAlign w:val="center"/>
          </w:tcPr>
          <w:p w14:paraId="7C6DE1E0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建立设备台账</w:t>
            </w:r>
          </w:p>
        </w:tc>
        <w:tc>
          <w:tcPr>
            <w:tcW w:w="1209" w:type="dxa"/>
            <w:vMerge w:val="continue"/>
            <w:vAlign w:val="center"/>
          </w:tcPr>
          <w:p w14:paraId="597F9BE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6F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D486F43">
            <w:pPr>
              <w:jc w:val="both"/>
            </w:pPr>
          </w:p>
        </w:tc>
        <w:tc>
          <w:tcPr>
            <w:tcW w:w="3140" w:type="dxa"/>
            <w:vMerge w:val="continue"/>
            <w:vAlign w:val="center"/>
          </w:tcPr>
          <w:p w14:paraId="6A145DBF">
            <w:pPr>
              <w:jc w:val="both"/>
            </w:pPr>
          </w:p>
        </w:tc>
        <w:tc>
          <w:tcPr>
            <w:tcW w:w="5898" w:type="dxa"/>
            <w:vAlign w:val="center"/>
          </w:tcPr>
          <w:p w14:paraId="65943509"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大型仪器设备/高价值设备具有设备运行维护记录，显著位置张贴安全操作规程或注意事项</w:t>
            </w:r>
          </w:p>
        </w:tc>
        <w:tc>
          <w:tcPr>
            <w:tcW w:w="1209" w:type="dxa"/>
            <w:vMerge w:val="continue"/>
            <w:vAlign w:val="center"/>
          </w:tcPr>
          <w:p w14:paraId="3694B6F3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97DC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1A3721D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60A58E0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61AF4D17"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电脑、空调、电加热设备不能随意开机过夜。如需过夜，须采取必要的防护措施。（双路供电、不间断电源、监控报警等）</w:t>
            </w:r>
          </w:p>
        </w:tc>
        <w:tc>
          <w:tcPr>
            <w:tcW w:w="1209" w:type="dxa"/>
            <w:vMerge w:val="continue"/>
            <w:vAlign w:val="center"/>
          </w:tcPr>
          <w:p w14:paraId="7D21E209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EE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1CCECF6">
            <w:pPr>
              <w:jc w:val="both"/>
            </w:pPr>
          </w:p>
        </w:tc>
        <w:tc>
          <w:tcPr>
            <w:tcW w:w="3140" w:type="dxa"/>
            <w:vMerge w:val="continue"/>
            <w:vAlign w:val="center"/>
          </w:tcPr>
          <w:p w14:paraId="466291D9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5CFE9494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机床应保持清洁整齐，严禁在机床头、床面、刀架上放置物品。</w:t>
            </w:r>
          </w:p>
        </w:tc>
        <w:tc>
          <w:tcPr>
            <w:tcW w:w="1209" w:type="dxa"/>
            <w:vMerge w:val="continue"/>
            <w:vAlign w:val="center"/>
          </w:tcPr>
          <w:p w14:paraId="003D6E8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2D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2279" w:type="dxa"/>
            <w:vMerge w:val="continue"/>
            <w:vAlign w:val="center"/>
          </w:tcPr>
          <w:p w14:paraId="49414099">
            <w:pPr>
              <w:jc w:val="both"/>
            </w:pPr>
          </w:p>
        </w:tc>
        <w:tc>
          <w:tcPr>
            <w:tcW w:w="3140" w:type="dxa"/>
            <w:vMerge w:val="continue"/>
            <w:vAlign w:val="center"/>
          </w:tcPr>
          <w:p w14:paraId="59F6E0AA">
            <w:pPr>
              <w:jc w:val="both"/>
            </w:pPr>
          </w:p>
        </w:tc>
        <w:tc>
          <w:tcPr>
            <w:tcW w:w="5898" w:type="dxa"/>
            <w:vAlign w:val="center"/>
          </w:tcPr>
          <w:p w14:paraId="000FCA0A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机械设备可靠接地，实验结束后，应切断电源，整理好场地并将实验用具等摆放整齐，及时清理机械设备产生的废渣、废屑</w:t>
            </w:r>
          </w:p>
        </w:tc>
        <w:tc>
          <w:tcPr>
            <w:tcW w:w="1209" w:type="dxa"/>
            <w:vMerge w:val="continue"/>
            <w:vAlign w:val="center"/>
          </w:tcPr>
          <w:p w14:paraId="31DCA7A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D1C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</w:trPr>
        <w:tc>
          <w:tcPr>
            <w:tcW w:w="2279" w:type="dxa"/>
            <w:vMerge w:val="continue"/>
            <w:vAlign w:val="center"/>
          </w:tcPr>
          <w:p w14:paraId="1FAEAEEA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Merge w:val="continue"/>
            <w:vAlign w:val="center"/>
          </w:tcPr>
          <w:p w14:paraId="04BA4A04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898" w:type="dxa"/>
            <w:vAlign w:val="center"/>
          </w:tcPr>
          <w:p w14:paraId="364A1B3D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进入实验室应穿戴好个人防护用品（实验服、防护眼镜、口罩等）</w:t>
            </w:r>
          </w:p>
        </w:tc>
        <w:tc>
          <w:tcPr>
            <w:tcW w:w="1209" w:type="dxa"/>
            <w:vMerge w:val="continue"/>
            <w:vAlign w:val="center"/>
          </w:tcPr>
          <w:p w14:paraId="0B1DF798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18AA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279" w:type="dxa"/>
            <w:vMerge w:val="restart"/>
            <w:vAlign w:val="center"/>
          </w:tcPr>
          <w:p w14:paraId="2CC04ADD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教学和课程支撑</w:t>
            </w:r>
          </w:p>
        </w:tc>
        <w:tc>
          <w:tcPr>
            <w:tcW w:w="3140" w:type="dxa"/>
            <w:vAlign w:val="center"/>
          </w:tcPr>
          <w:p w14:paraId="7EA1018C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4.1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实验教学</w:t>
            </w:r>
          </w:p>
        </w:tc>
        <w:tc>
          <w:tcPr>
            <w:tcW w:w="5898" w:type="dxa"/>
            <w:vAlign w:val="center"/>
          </w:tcPr>
          <w:p w14:paraId="68CC2334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实验教学大纲设计符合规范要求；实验教学计划、实验教材或指导、，实验报告等材料齐全，质量较好</w:t>
            </w:r>
          </w:p>
        </w:tc>
        <w:tc>
          <w:tcPr>
            <w:tcW w:w="1209" w:type="dxa"/>
            <w:vMerge w:val="restart"/>
            <w:vAlign w:val="center"/>
          </w:tcPr>
          <w:p w14:paraId="4430DBDB">
            <w:pPr>
              <w:widowControl/>
              <w:overflowPunct w:val="0"/>
              <w:spacing w:line="300" w:lineRule="exact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06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11494DA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6476EED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4.2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新型实验课程、教材开发</w:t>
            </w:r>
          </w:p>
        </w:tc>
        <w:tc>
          <w:tcPr>
            <w:tcW w:w="5898" w:type="dxa"/>
            <w:vAlign w:val="center"/>
          </w:tcPr>
          <w:p w14:paraId="6B263D4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在实验教学中引入的新理念、新方法或新内容的课程，与新型实验课程相配套的教学材料</w:t>
            </w:r>
          </w:p>
        </w:tc>
        <w:tc>
          <w:tcPr>
            <w:tcW w:w="1209" w:type="dxa"/>
            <w:vMerge w:val="continue"/>
            <w:vAlign w:val="center"/>
          </w:tcPr>
          <w:p w14:paraId="2D2565F3">
            <w:pPr>
              <w:widowControl/>
              <w:overflowPunct w:val="0"/>
              <w:spacing w:line="300" w:lineRule="exact"/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3CD5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3065684">
            <w:pPr>
              <w:numPr>
                <w:ilvl w:val="0"/>
                <w:numId w:val="0"/>
              </w:numPr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54C7982B">
            <w:pPr>
              <w:numPr>
                <w:ilvl w:val="0"/>
                <w:numId w:val="0"/>
              </w:num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4.3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新型实验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项目</w:t>
            </w:r>
          </w:p>
        </w:tc>
        <w:tc>
          <w:tcPr>
            <w:tcW w:w="5898" w:type="dxa"/>
            <w:vAlign w:val="center"/>
          </w:tcPr>
          <w:p w14:paraId="6887101D">
            <w:pPr>
              <w:numPr>
                <w:ilvl w:val="0"/>
                <w:numId w:val="0"/>
              </w:num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fill="FDFDFE"/>
              </w:rPr>
              <w:t>在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fill="FDFDFE"/>
                <w:lang w:eastAsia="zh-CN"/>
              </w:rPr>
              <w:t>常规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fill="FDFDFE"/>
              </w:rPr>
              <w:t>实验基础上，通过引入新技术、新方法或新思维而设计的具有创新性、前瞻性和实用性的实验项目。</w:t>
            </w:r>
          </w:p>
        </w:tc>
        <w:tc>
          <w:tcPr>
            <w:tcW w:w="1209" w:type="dxa"/>
            <w:vMerge w:val="continue"/>
            <w:vAlign w:val="center"/>
          </w:tcPr>
          <w:p w14:paraId="45A3CE40">
            <w:pPr>
              <w:overflowPunct w:val="0"/>
              <w:jc w:val="both"/>
              <w:rPr>
                <w:rFonts w:hint="default" w:ascii="Times New Roman" w:hAnsi="Times New Roman" w:eastAsia="仿宋" w:cs="Times New Roman"/>
                <w:color w:val="000000"/>
                <w:szCs w:val="21"/>
              </w:rPr>
            </w:pPr>
          </w:p>
        </w:tc>
      </w:tr>
      <w:tr w14:paraId="08208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279" w:type="dxa"/>
            <w:vMerge w:val="continue"/>
            <w:vAlign w:val="center"/>
          </w:tcPr>
          <w:p w14:paraId="64536524">
            <w:pPr>
              <w:numPr>
                <w:ilvl w:val="0"/>
                <w:numId w:val="0"/>
              </w:num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7F7C1F16">
            <w:pPr>
              <w:numPr>
                <w:ilvl w:val="0"/>
                <w:numId w:val="0"/>
              </w:num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4.4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虚拟仿真实验平台情况</w:t>
            </w:r>
          </w:p>
        </w:tc>
        <w:tc>
          <w:tcPr>
            <w:tcW w:w="5898" w:type="dxa"/>
            <w:vAlign w:val="center"/>
          </w:tcPr>
          <w:p w14:paraId="7AAB6562">
            <w:pPr>
              <w:numPr>
                <w:ilvl w:val="0"/>
                <w:numId w:val="0"/>
              </w:num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模拟教学实验环境和实验过程，学生能够在虚拟环境中进行实验操作</w:t>
            </w:r>
          </w:p>
        </w:tc>
        <w:tc>
          <w:tcPr>
            <w:tcW w:w="1209" w:type="dxa"/>
            <w:vMerge w:val="continue"/>
            <w:vAlign w:val="center"/>
          </w:tcPr>
          <w:p w14:paraId="27D746B9">
            <w:pPr>
              <w:overflowPunct w:val="0"/>
              <w:jc w:val="both"/>
              <w:rPr>
                <w:rFonts w:hint="default" w:ascii="Times New Roman" w:hAnsi="Times New Roman" w:eastAsia="仿宋" w:cs="Times New Roman"/>
                <w:color w:val="000000"/>
                <w:szCs w:val="21"/>
              </w:rPr>
            </w:pPr>
          </w:p>
        </w:tc>
      </w:tr>
      <w:tr w14:paraId="1F1A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restart"/>
            <w:vAlign w:val="center"/>
          </w:tcPr>
          <w:p w14:paraId="562931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5实验室利用效能</w:t>
            </w:r>
          </w:p>
          <w:p w14:paraId="499B726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177F2AAF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5.1实验室利用率</w:t>
            </w:r>
          </w:p>
        </w:tc>
        <w:tc>
          <w:tcPr>
            <w:tcW w:w="5898" w:type="dxa"/>
            <w:vAlign w:val="center"/>
          </w:tcPr>
          <w:p w14:paraId="2E742806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实验室利用率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=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（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实际使用学时数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/实验室额定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学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时数）×100%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br w:type="textWrapping"/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（教学、科研实验室一学期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额定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学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时数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380；公共机房一学期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额定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学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时数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460）</w:t>
            </w:r>
          </w:p>
        </w:tc>
        <w:tc>
          <w:tcPr>
            <w:tcW w:w="1209" w:type="dxa"/>
            <w:vAlign w:val="center"/>
          </w:tcPr>
          <w:p w14:paraId="2024B63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4DDE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391FEA8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0710D829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5.2实验室项目开出率</w:t>
            </w:r>
          </w:p>
        </w:tc>
        <w:tc>
          <w:tcPr>
            <w:tcW w:w="5898" w:type="dxa"/>
            <w:vAlign w:val="center"/>
          </w:tcPr>
          <w:p w14:paraId="3994F78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实验开出率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=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（实际开出实验项目数/大纲实验项目数）×100%</w:t>
            </w:r>
          </w:p>
        </w:tc>
        <w:tc>
          <w:tcPr>
            <w:tcW w:w="1209" w:type="dxa"/>
            <w:vAlign w:val="center"/>
          </w:tcPr>
          <w:p w14:paraId="5F24391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64D1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7926742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3B1A6F7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5.3实验室仪器设备在用率</w:t>
            </w:r>
          </w:p>
        </w:tc>
        <w:tc>
          <w:tcPr>
            <w:tcW w:w="5898" w:type="dxa"/>
            <w:vAlign w:val="center"/>
          </w:tcPr>
          <w:p w14:paraId="7C4A44C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设备在用率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=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（在用仪器设备台件数/仪器设备总台件数）×100%</w:t>
            </w:r>
          </w:p>
        </w:tc>
        <w:tc>
          <w:tcPr>
            <w:tcW w:w="1209" w:type="dxa"/>
            <w:vAlign w:val="center"/>
          </w:tcPr>
          <w:p w14:paraId="5821A6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4281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2279" w:type="dxa"/>
            <w:vMerge w:val="continue"/>
            <w:vAlign w:val="center"/>
          </w:tcPr>
          <w:p w14:paraId="53FF8FF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140" w:type="dxa"/>
            <w:vAlign w:val="center"/>
          </w:tcPr>
          <w:p w14:paraId="1D7330E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5.4仪器设备完好率</w:t>
            </w:r>
          </w:p>
        </w:tc>
        <w:tc>
          <w:tcPr>
            <w:tcW w:w="5898" w:type="dxa"/>
            <w:vAlign w:val="center"/>
          </w:tcPr>
          <w:p w14:paraId="6058B8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仪器设备完好率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 w:bidi="ar-SA"/>
              </w:rPr>
              <w:t>=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en-US" w:bidi="ar-SA"/>
              </w:rPr>
              <w:t>（完好仪器设备台件数/仪器设备总台件数）×100%</w:t>
            </w:r>
          </w:p>
        </w:tc>
        <w:tc>
          <w:tcPr>
            <w:tcW w:w="1209" w:type="dxa"/>
            <w:vAlign w:val="center"/>
          </w:tcPr>
          <w:p w14:paraId="0F87604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3198005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1" w:fontKey="{45249E4B-704A-4B4C-83C6-DBFFDD882C4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8F4CA90-119E-4075-A149-9863710F69F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37D4524-F764-4B23-9E4E-7B686089E03F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450EA">
    <w:pPr>
      <w:pStyle w:val="3"/>
      <w:jc w:val="center"/>
      <w:rPr>
        <w:rFonts w:hint="eastAsia" w:ascii="方正小标宋简体" w:hAnsi="方正小标宋简体" w:eastAsia="方正小标宋简体" w:cs="方正小标宋简体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36A374"/>
    <w:multiLevelType w:val="singleLevel"/>
    <w:tmpl w:val="3B36A3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390A038"/>
    <w:multiLevelType w:val="singleLevel"/>
    <w:tmpl w:val="5390A0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DC2B592"/>
    <w:multiLevelType w:val="singleLevel"/>
    <w:tmpl w:val="7DC2B5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OTU3ODFiOGUyOTIwZGE3YWZhMjUyZWUyZDU4ZTIifQ=="/>
    <w:docVar w:name="KSO_WPS_MARK_KEY" w:val="b5ded254-1554-48ec-b7d0-2978981d1d21"/>
  </w:docVars>
  <w:rsids>
    <w:rsidRoot w:val="00000000"/>
    <w:rsid w:val="023354D2"/>
    <w:rsid w:val="07373823"/>
    <w:rsid w:val="09A860AB"/>
    <w:rsid w:val="0B026EC9"/>
    <w:rsid w:val="0B5D7CDF"/>
    <w:rsid w:val="10EB4A74"/>
    <w:rsid w:val="12D23381"/>
    <w:rsid w:val="1A0B3F1A"/>
    <w:rsid w:val="1E1708E3"/>
    <w:rsid w:val="1F375335"/>
    <w:rsid w:val="252D0601"/>
    <w:rsid w:val="294954FB"/>
    <w:rsid w:val="33743CE1"/>
    <w:rsid w:val="3B843549"/>
    <w:rsid w:val="41736EB6"/>
    <w:rsid w:val="42181B5C"/>
    <w:rsid w:val="44EF381B"/>
    <w:rsid w:val="45572B91"/>
    <w:rsid w:val="59407B51"/>
    <w:rsid w:val="5BFD5DDC"/>
    <w:rsid w:val="5E5935DD"/>
    <w:rsid w:val="6833687B"/>
    <w:rsid w:val="6955345C"/>
    <w:rsid w:val="6D7026B9"/>
    <w:rsid w:val="6E104395"/>
    <w:rsid w:val="717B1FF5"/>
    <w:rsid w:val="77C43611"/>
    <w:rsid w:val="77E80DB8"/>
    <w:rsid w:val="7F81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2604</Words>
  <Characters>2690</Characters>
  <Lines>0</Lines>
  <Paragraphs>0</Paragraphs>
  <TotalTime>1</TotalTime>
  <ScaleCrop>false</ScaleCrop>
  <LinksUpToDate>false</LinksUpToDate>
  <CharactersWithSpaces>2691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2024-12-02T02:17:00Z</dcterms:created>
  <dc:creator>86186</dc:creator>
  <cp:lastModifiedBy>Cecilia</cp:lastModifiedBy>
  <cp:lastPrinted>2025-03-12T00:02:00Z</cp:lastPrinted>
  <dcterms:modified xsi:type="dcterms:W3CDTF">2025-03-19T06:26:29Z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0158E9774B584551BE6CA6618B9D5293_13</vt:lpwstr>
  </property>
  <property fmtid="{D5CDD505-2E9C-101B-9397-08002B2CF9AE}" pid="4" name="KSOTemplateDocerSaveRecord">
    <vt:lpwstr>eyJoZGlkIjoiY2Q3OTU3ODFiOGUyOTIwZGE3YWZhMjUyZWUyZDU4ZTIiLCJ1c2VySWQiOiIxMTIyOTI1MjY5In0=</vt:lpwstr>
  </property>
</Properties>
</file>