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4B816">
      <w:pPr>
        <w:spacing w:before="139" w:line="225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-2"/>
          <w:sz w:val="44"/>
          <w:szCs w:val="44"/>
          <w:lang w:eastAsia="zh-CN"/>
        </w:rPr>
        <w:t>关于开展三亚学院</w:t>
      </w:r>
      <w:r>
        <w:rPr>
          <w:rFonts w:hint="eastAsia" w:ascii="方正小标宋简体" w:hAnsi="方正小标宋简体" w:eastAsia="方正小标宋简体" w:cs="方正小标宋简体"/>
          <w:color w:val="auto"/>
          <w:spacing w:val="-2"/>
          <w:sz w:val="44"/>
          <w:szCs w:val="44"/>
        </w:rPr>
        <w:t>实验室综合效益评估</w:t>
      </w:r>
      <w:r>
        <w:rPr>
          <w:rFonts w:hint="eastAsia" w:ascii="方正小标宋简体" w:hAnsi="方正小标宋简体" w:eastAsia="方正小标宋简体" w:cs="方正小标宋简体"/>
          <w:color w:val="auto"/>
          <w:spacing w:val="-2"/>
          <w:sz w:val="44"/>
          <w:szCs w:val="44"/>
          <w:lang w:eastAsia="zh-CN"/>
        </w:rPr>
        <w:t>的通知</w:t>
      </w:r>
    </w:p>
    <w:p w14:paraId="0DF38A1B">
      <w:pPr>
        <w:spacing w:line="316" w:lineRule="auto"/>
        <w:rPr>
          <w:rFonts w:ascii="Arial"/>
          <w:color w:val="auto"/>
          <w:sz w:val="21"/>
        </w:rPr>
      </w:pPr>
    </w:p>
    <w:p w14:paraId="346D66F3">
      <w:pPr>
        <w:spacing w:line="317" w:lineRule="auto"/>
        <w:rPr>
          <w:rFonts w:ascii="Arial"/>
          <w:color w:val="auto"/>
          <w:sz w:val="21"/>
        </w:rPr>
      </w:pPr>
    </w:p>
    <w:p w14:paraId="2170BC53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36" w:firstLineChars="200"/>
        <w:jc w:val="both"/>
        <w:textAlignment w:val="baseline"/>
        <w:rPr>
          <w:rFonts w:hint="eastAsia"/>
          <w:color w:val="auto"/>
          <w:spacing w:val="4"/>
        </w:rPr>
      </w:pPr>
      <w:r>
        <w:rPr>
          <w:rFonts w:hint="eastAsia"/>
          <w:color w:val="auto"/>
          <w:spacing w:val="4"/>
        </w:rPr>
        <w:t>为加强实验室的建设与管理，</w:t>
      </w:r>
      <w:r>
        <w:rPr>
          <w:rFonts w:hint="eastAsia"/>
          <w:color w:val="auto"/>
          <w:spacing w:val="4"/>
          <w:lang w:eastAsia="zh-CN"/>
        </w:rPr>
        <w:t>响应学</w:t>
      </w:r>
      <w:r>
        <w:rPr>
          <w:color w:val="auto"/>
          <w:spacing w:val="4"/>
        </w:rPr>
        <w:t>校</w:t>
      </w:r>
      <w:r>
        <w:rPr>
          <w:rFonts w:hint="eastAsia"/>
          <w:color w:val="auto"/>
          <w:spacing w:val="4"/>
          <w:lang w:eastAsia="zh-CN"/>
        </w:rPr>
        <w:t>“三个校园”建设、产教融合工作及发挥实验教学平台的作用，</w:t>
      </w:r>
      <w:r>
        <w:rPr>
          <w:rFonts w:hint="eastAsia"/>
          <w:color w:val="auto"/>
          <w:spacing w:val="4"/>
        </w:rPr>
        <w:t>有效利用实验室资源，提高实验教学质量、科研水平和投资效益，根据</w:t>
      </w:r>
      <w:r>
        <w:rPr>
          <w:rFonts w:hint="eastAsia"/>
          <w:color w:val="auto"/>
          <w:spacing w:val="4"/>
          <w:lang w:eastAsia="zh-CN"/>
        </w:rPr>
        <w:t>《</w:t>
      </w:r>
      <w:r>
        <w:rPr>
          <w:rFonts w:hint="eastAsia"/>
          <w:color w:val="auto"/>
          <w:spacing w:val="4"/>
        </w:rPr>
        <w:t>高等学校实验室工作规程</w:t>
      </w:r>
      <w:r>
        <w:rPr>
          <w:rFonts w:hint="eastAsia"/>
          <w:color w:val="auto"/>
          <w:spacing w:val="4"/>
          <w:lang w:eastAsia="zh-CN"/>
        </w:rPr>
        <w:t>》《人才集团所属院校实验室建设与运行管理工作指引》</w:t>
      </w:r>
      <w:r>
        <w:rPr>
          <w:rFonts w:hint="eastAsia"/>
          <w:color w:val="auto"/>
          <w:spacing w:val="4"/>
        </w:rPr>
        <w:t>对实验室的评估标准，结合我校实际，开展三亚学院实验室综合效益评估</w:t>
      </w:r>
      <w:r>
        <w:rPr>
          <w:rFonts w:hint="eastAsia"/>
          <w:color w:val="auto"/>
          <w:spacing w:val="4"/>
          <w:lang w:eastAsia="zh-CN"/>
        </w:rPr>
        <w:t>工作，具体工作方案如下</w:t>
      </w:r>
      <w:r>
        <w:rPr>
          <w:rFonts w:hint="eastAsia"/>
          <w:color w:val="auto"/>
          <w:spacing w:val="4"/>
        </w:rPr>
        <w:t>。</w:t>
      </w:r>
    </w:p>
    <w:p w14:paraId="03ABBC5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671" w:firstLineChars="200"/>
        <w:jc w:val="both"/>
        <w:textAlignment w:val="baseline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32"/>
          <w:szCs w:val="32"/>
        </w:rPr>
        <w:t>一、评估范围</w:t>
      </w:r>
    </w:p>
    <w:p w14:paraId="746D331B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36" w:firstLineChars="200"/>
        <w:jc w:val="both"/>
        <w:textAlignment w:val="baseline"/>
        <w:rPr>
          <w:color w:val="auto"/>
          <w:spacing w:val="4"/>
        </w:rPr>
      </w:pPr>
      <w:r>
        <w:rPr>
          <w:color w:val="auto"/>
          <w:spacing w:val="4"/>
        </w:rPr>
        <w:t>全校所有的教学和科研实验室，</w:t>
      </w:r>
      <w:r>
        <w:rPr>
          <w:rFonts w:hint="eastAsia"/>
          <w:color w:val="auto"/>
          <w:spacing w:val="4"/>
          <w:lang w:eastAsia="zh-CN"/>
        </w:rPr>
        <w:t>侧重近三年新建、升级的实验室，</w:t>
      </w:r>
      <w:r>
        <w:rPr>
          <w:color w:val="auto"/>
          <w:spacing w:val="4"/>
        </w:rPr>
        <w:t>以</w:t>
      </w:r>
      <w:r>
        <w:rPr>
          <w:rFonts w:hint="eastAsia"/>
          <w:color w:val="auto"/>
          <w:spacing w:val="4"/>
          <w:lang w:eastAsia="zh-CN"/>
        </w:rPr>
        <w:t>学院</w:t>
      </w:r>
      <w:r>
        <w:rPr>
          <w:color w:val="auto"/>
          <w:spacing w:val="4"/>
        </w:rPr>
        <w:t>为单位</w:t>
      </w:r>
      <w:r>
        <w:rPr>
          <w:rFonts w:hint="eastAsia"/>
          <w:color w:val="auto"/>
          <w:spacing w:val="4"/>
          <w:lang w:eastAsia="zh-CN"/>
        </w:rPr>
        <w:t>分别对各实验室</w:t>
      </w:r>
      <w:r>
        <w:rPr>
          <w:color w:val="auto"/>
          <w:spacing w:val="4"/>
        </w:rPr>
        <w:t>进行综合效益评估。</w:t>
      </w:r>
    </w:p>
    <w:p w14:paraId="00A05AE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671" w:firstLineChars="200"/>
        <w:jc w:val="both"/>
        <w:textAlignment w:val="baseline"/>
        <w:rPr>
          <w:rFonts w:hint="eastAsia" w:ascii="仿宋" w:hAnsi="仿宋" w:eastAsia="仿宋" w:cs="仿宋"/>
          <w:b/>
          <w:bCs/>
          <w:color w:val="auto"/>
          <w:spacing w:val="7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32"/>
          <w:szCs w:val="32"/>
        </w:rPr>
        <w:t>二、评估原则</w:t>
      </w:r>
    </w:p>
    <w:p w14:paraId="208D6189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36" w:firstLineChars="200"/>
        <w:jc w:val="both"/>
        <w:textAlignment w:val="baseline"/>
        <w:rPr>
          <w:color w:val="auto"/>
          <w:spacing w:val="4"/>
        </w:rPr>
      </w:pPr>
      <w:r>
        <w:rPr>
          <w:color w:val="auto"/>
          <w:spacing w:val="4"/>
        </w:rPr>
        <w:t>实验室综合效益评估工作坚持“客观、公正、科学”原则， 实事求是地反映实验室建设水平，提高</w:t>
      </w:r>
      <w:r>
        <w:rPr>
          <w:rFonts w:hint="eastAsia"/>
          <w:color w:val="auto"/>
          <w:spacing w:val="4"/>
          <w:lang w:eastAsia="zh-CN"/>
        </w:rPr>
        <w:t>仪器设备的开放共享，提升</w:t>
      </w:r>
      <w:r>
        <w:rPr>
          <w:color w:val="auto"/>
          <w:spacing w:val="4"/>
        </w:rPr>
        <w:t>实验室工作效益</w:t>
      </w:r>
      <w:r>
        <w:rPr>
          <w:rFonts w:hint="eastAsia"/>
          <w:color w:val="auto"/>
          <w:spacing w:val="4"/>
          <w:lang w:eastAsia="zh-CN"/>
        </w:rPr>
        <w:t>。</w:t>
      </w:r>
    </w:p>
    <w:p w14:paraId="01BD15E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671" w:firstLineChars="200"/>
        <w:jc w:val="both"/>
        <w:textAlignment w:val="baseline"/>
        <w:rPr>
          <w:rFonts w:hint="eastAsia" w:ascii="仿宋" w:hAnsi="仿宋" w:eastAsia="仿宋" w:cs="仿宋"/>
          <w:b/>
          <w:bCs/>
          <w:color w:val="auto"/>
          <w:spacing w:val="7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32"/>
          <w:szCs w:val="32"/>
        </w:rPr>
        <w:t>三、评估组织</w:t>
      </w:r>
    </w:p>
    <w:p w14:paraId="2B6C5AD2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36" w:firstLineChars="200"/>
        <w:jc w:val="both"/>
        <w:textAlignment w:val="baseline"/>
        <w:rPr>
          <w:rFonts w:hint="eastAsia" w:eastAsia="仿宋"/>
          <w:color w:val="auto"/>
          <w:spacing w:val="4"/>
          <w:lang w:eastAsia="zh-CN"/>
        </w:rPr>
      </w:pPr>
      <w:r>
        <w:rPr>
          <w:color w:val="auto"/>
          <w:spacing w:val="4"/>
        </w:rPr>
        <w:t>实验室综合效益评估实行学院自评、学校二级评估制度。实验室管理</w:t>
      </w:r>
      <w:r>
        <w:rPr>
          <w:rFonts w:hint="eastAsia"/>
          <w:color w:val="auto"/>
          <w:spacing w:val="4"/>
          <w:lang w:eastAsia="zh-CN"/>
        </w:rPr>
        <w:t>中心</w:t>
      </w:r>
      <w:r>
        <w:rPr>
          <w:color w:val="auto"/>
          <w:spacing w:val="4"/>
        </w:rPr>
        <w:t>具体部署综合效益评估工作，公布实验室综合效益评估结果。</w:t>
      </w:r>
      <w:r>
        <w:rPr>
          <w:rFonts w:hint="eastAsia"/>
          <w:color w:val="auto"/>
          <w:spacing w:val="4"/>
          <w:lang w:eastAsia="zh-CN"/>
        </w:rPr>
        <w:t>具体工作流程安排如下：</w:t>
      </w:r>
    </w:p>
    <w:p w14:paraId="48C3655D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36" w:firstLineChars="200"/>
        <w:jc w:val="both"/>
        <w:textAlignment w:val="baseline"/>
        <w:rPr>
          <w:color w:val="auto"/>
          <w:spacing w:val="4"/>
        </w:rPr>
      </w:pPr>
      <w:r>
        <w:rPr>
          <w:rFonts w:hint="eastAsia"/>
          <w:color w:val="auto"/>
          <w:spacing w:val="4"/>
          <w:lang w:val="en-US" w:eastAsia="zh-CN"/>
        </w:rPr>
        <w:t>1</w:t>
      </w:r>
      <w:r>
        <w:rPr>
          <w:color w:val="auto"/>
          <w:spacing w:val="4"/>
        </w:rPr>
        <w:t>.学院自评</w:t>
      </w:r>
    </w:p>
    <w:p w14:paraId="2BD299B2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36" w:firstLineChars="200"/>
        <w:jc w:val="both"/>
        <w:textAlignment w:val="baseline"/>
        <w:rPr>
          <w:rFonts w:hint="eastAsia"/>
          <w:color w:val="auto"/>
          <w:spacing w:val="4"/>
          <w:lang w:val="en-US" w:eastAsia="zh-CN"/>
        </w:rPr>
      </w:pPr>
      <w:r>
        <w:rPr>
          <w:color w:val="auto"/>
          <w:spacing w:val="4"/>
        </w:rPr>
        <w:t>各二级学院成立</w:t>
      </w:r>
      <w:bookmarkStart w:id="0" w:name="_GoBack"/>
      <w:bookmarkEnd w:id="0"/>
      <w:r>
        <w:rPr>
          <w:color w:val="auto"/>
          <w:spacing w:val="4"/>
        </w:rPr>
        <w:t>由院长任组长</w:t>
      </w:r>
      <w:r>
        <w:rPr>
          <w:rFonts w:hint="eastAsia"/>
          <w:color w:val="auto"/>
          <w:spacing w:val="4"/>
          <w:lang w:eastAsia="zh-CN"/>
        </w:rPr>
        <w:t>，主管教学的</w:t>
      </w:r>
      <w:r>
        <w:rPr>
          <w:color w:val="auto"/>
          <w:spacing w:val="4"/>
        </w:rPr>
        <w:t>院</w:t>
      </w:r>
      <w:r>
        <w:rPr>
          <w:rFonts w:hint="eastAsia"/>
          <w:color w:val="auto"/>
          <w:spacing w:val="4"/>
          <w:lang w:eastAsia="zh-CN"/>
        </w:rPr>
        <w:t>领导</w:t>
      </w:r>
      <w:r>
        <w:rPr>
          <w:color w:val="auto"/>
          <w:spacing w:val="4"/>
        </w:rPr>
        <w:t>任</w:t>
      </w:r>
      <w:r>
        <w:rPr>
          <w:rFonts w:hint="eastAsia"/>
          <w:color w:val="auto"/>
          <w:spacing w:val="4"/>
          <w:lang w:eastAsia="zh-CN"/>
        </w:rPr>
        <w:t>副</w:t>
      </w:r>
      <w:r>
        <w:rPr>
          <w:color w:val="auto"/>
          <w:spacing w:val="4"/>
        </w:rPr>
        <w:t>组长，实验室</w:t>
      </w:r>
      <w:r>
        <w:rPr>
          <w:rFonts w:hint="eastAsia"/>
          <w:color w:val="auto"/>
          <w:spacing w:val="4"/>
          <w:lang w:eastAsia="zh-CN"/>
        </w:rPr>
        <w:t>技术</w:t>
      </w:r>
      <w:r>
        <w:rPr>
          <w:color w:val="auto"/>
          <w:spacing w:val="4"/>
        </w:rPr>
        <w:t>人员及相关任课</w:t>
      </w:r>
      <w:r>
        <w:rPr>
          <w:rFonts w:hint="eastAsia"/>
          <w:color w:val="auto"/>
          <w:spacing w:val="4"/>
          <w:lang w:eastAsia="zh-CN"/>
        </w:rPr>
        <w:t>实验</w:t>
      </w:r>
      <w:r>
        <w:rPr>
          <w:color w:val="auto"/>
          <w:spacing w:val="4"/>
        </w:rPr>
        <w:t>教师任组员的自评小组，负责组织本学院实验室综合效益评估，按照《</w:t>
      </w:r>
      <w:r>
        <w:rPr>
          <w:rFonts w:hint="eastAsia"/>
          <w:color w:val="auto"/>
          <w:spacing w:val="4"/>
          <w:lang w:eastAsia="zh-CN"/>
        </w:rPr>
        <w:t>三亚学院实验室综合评估要点（试行）</w:t>
      </w:r>
      <w:r>
        <w:rPr>
          <w:color w:val="auto"/>
          <w:spacing w:val="4"/>
        </w:rPr>
        <w:t>》（见</w:t>
      </w:r>
      <w:r>
        <w:rPr>
          <w:rFonts w:hint="eastAsia"/>
          <w:color w:val="auto"/>
          <w:spacing w:val="4"/>
          <w:lang w:eastAsia="zh-CN"/>
        </w:rPr>
        <w:t>附件</w:t>
      </w:r>
      <w:r>
        <w:rPr>
          <w:rFonts w:hint="eastAsia"/>
          <w:color w:val="auto"/>
          <w:spacing w:val="4"/>
          <w:lang w:val="en-US" w:eastAsia="zh-CN"/>
        </w:rPr>
        <w:t>1</w:t>
      </w:r>
      <w:r>
        <w:rPr>
          <w:color w:val="auto"/>
          <w:spacing w:val="4"/>
        </w:rPr>
        <w:t>）中所列评估内容和</w:t>
      </w:r>
      <w:r>
        <w:rPr>
          <w:rFonts w:hint="eastAsia"/>
          <w:color w:val="auto"/>
          <w:spacing w:val="4"/>
          <w:lang w:eastAsia="zh-CN"/>
        </w:rPr>
        <w:t>支撑材料</w:t>
      </w:r>
      <w:r>
        <w:rPr>
          <w:color w:val="auto"/>
          <w:spacing w:val="4"/>
        </w:rPr>
        <w:t>进行自评，并</w:t>
      </w:r>
      <w:r>
        <w:rPr>
          <w:rFonts w:hint="eastAsia"/>
          <w:color w:val="auto"/>
          <w:spacing w:val="4"/>
          <w:lang w:eastAsia="zh-CN"/>
        </w:rPr>
        <w:t>撰写学院整体的</w:t>
      </w:r>
      <w:r>
        <w:rPr>
          <w:color w:val="auto"/>
          <w:spacing w:val="4"/>
        </w:rPr>
        <w:t>自评报告。</w:t>
      </w:r>
      <w:r>
        <w:rPr>
          <w:rFonts w:hint="eastAsia"/>
          <w:color w:val="auto"/>
          <w:spacing w:val="4"/>
          <w:lang w:eastAsia="zh-CN"/>
        </w:rPr>
        <w:t>（见附件</w:t>
      </w:r>
      <w:r>
        <w:rPr>
          <w:rFonts w:hint="eastAsia"/>
          <w:color w:val="auto"/>
          <w:spacing w:val="4"/>
          <w:lang w:val="en-US" w:eastAsia="zh-CN"/>
        </w:rPr>
        <w:t>2）同时提交本学期实验室使用率、科教融汇、产教融合成果产出汇总表。</w:t>
      </w:r>
      <w:r>
        <w:rPr>
          <w:rFonts w:hint="eastAsia"/>
          <w:color w:val="auto"/>
          <w:spacing w:val="4"/>
          <w:lang w:eastAsia="zh-CN"/>
        </w:rPr>
        <w:t>（见附件</w:t>
      </w:r>
      <w:r>
        <w:rPr>
          <w:rFonts w:hint="eastAsia"/>
          <w:color w:val="auto"/>
          <w:spacing w:val="4"/>
          <w:lang w:val="en-US" w:eastAsia="zh-CN"/>
        </w:rPr>
        <w:t>3）</w:t>
      </w:r>
    </w:p>
    <w:p w14:paraId="2C5B1667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36" w:firstLineChars="200"/>
        <w:jc w:val="both"/>
        <w:textAlignment w:val="baseline"/>
        <w:rPr>
          <w:rFonts w:hint="default" w:eastAsia="仿宋"/>
          <w:color w:val="auto"/>
          <w:spacing w:val="4"/>
          <w:lang w:val="en-US" w:eastAsia="zh-CN"/>
        </w:rPr>
      </w:pPr>
      <w:r>
        <w:rPr>
          <w:rFonts w:hint="eastAsia"/>
          <w:color w:val="auto"/>
          <w:spacing w:val="4"/>
          <w:lang w:val="en-US" w:eastAsia="zh-CN"/>
        </w:rPr>
        <w:t>所有材料的电子版和纸质版请于6月6日（第十五周的周五）前报送到实验室管理中心。</w:t>
      </w:r>
    </w:p>
    <w:p w14:paraId="6352A8BD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36" w:firstLineChars="200"/>
        <w:jc w:val="both"/>
        <w:textAlignment w:val="baseline"/>
        <w:rPr>
          <w:color w:val="auto"/>
          <w:spacing w:val="4"/>
        </w:rPr>
      </w:pPr>
      <w:r>
        <w:rPr>
          <w:rFonts w:hint="eastAsia"/>
          <w:color w:val="auto"/>
          <w:spacing w:val="4"/>
          <w:lang w:val="en-US" w:eastAsia="zh-CN"/>
        </w:rPr>
        <w:t>2</w:t>
      </w:r>
      <w:r>
        <w:rPr>
          <w:color w:val="auto"/>
          <w:spacing w:val="4"/>
        </w:rPr>
        <w:t>.学校评估</w:t>
      </w:r>
    </w:p>
    <w:p w14:paraId="185A1A7D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36" w:firstLineChars="200"/>
        <w:jc w:val="both"/>
        <w:textAlignment w:val="baseline"/>
        <w:rPr>
          <w:color w:val="auto"/>
          <w:spacing w:val="4"/>
        </w:rPr>
      </w:pPr>
      <w:r>
        <w:rPr>
          <w:color w:val="auto"/>
          <w:spacing w:val="4"/>
        </w:rPr>
        <w:t>（1）学校成立分管副校长为组长，实验室管理</w:t>
      </w:r>
      <w:r>
        <w:rPr>
          <w:rFonts w:hint="eastAsia"/>
          <w:color w:val="auto"/>
          <w:spacing w:val="4"/>
          <w:lang w:eastAsia="zh-CN"/>
        </w:rPr>
        <w:t>中心</w:t>
      </w:r>
      <w:r>
        <w:rPr>
          <w:color w:val="auto"/>
          <w:spacing w:val="4"/>
        </w:rPr>
        <w:t>牵头，教务处、</w:t>
      </w:r>
      <w:r>
        <w:rPr>
          <w:rFonts w:hint="eastAsia"/>
          <w:color w:val="auto"/>
          <w:spacing w:val="4"/>
          <w:lang w:eastAsia="zh-CN"/>
        </w:rPr>
        <w:t>研究生处、</w:t>
      </w:r>
      <w:r>
        <w:rPr>
          <w:color w:val="auto"/>
          <w:spacing w:val="4"/>
        </w:rPr>
        <w:t>科研处、</w:t>
      </w:r>
      <w:r>
        <w:rPr>
          <w:rFonts w:hint="eastAsia"/>
          <w:color w:val="auto"/>
          <w:spacing w:val="4"/>
          <w:lang w:eastAsia="zh-CN"/>
        </w:rPr>
        <w:t>资产</w:t>
      </w:r>
      <w:r>
        <w:rPr>
          <w:color w:val="auto"/>
          <w:spacing w:val="4"/>
        </w:rPr>
        <w:t>处</w:t>
      </w:r>
      <w:r>
        <w:rPr>
          <w:rFonts w:hint="eastAsia"/>
          <w:color w:val="auto"/>
          <w:spacing w:val="4"/>
          <w:lang w:eastAsia="zh-CN"/>
        </w:rPr>
        <w:t>、设备处</w:t>
      </w:r>
      <w:r>
        <w:rPr>
          <w:color w:val="auto"/>
          <w:spacing w:val="4"/>
        </w:rPr>
        <w:t>等处室配合的实验室综合效益评估领导小组；</w:t>
      </w:r>
    </w:p>
    <w:p w14:paraId="0518712F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36" w:firstLineChars="200"/>
        <w:jc w:val="both"/>
        <w:textAlignment w:val="baseline"/>
        <w:rPr>
          <w:rFonts w:hint="eastAsia" w:eastAsia="仿宋"/>
          <w:color w:val="auto"/>
          <w:spacing w:val="4"/>
          <w:lang w:eastAsia="zh-CN"/>
        </w:rPr>
      </w:pPr>
      <w:r>
        <w:rPr>
          <w:color w:val="auto"/>
          <w:spacing w:val="4"/>
        </w:rPr>
        <w:t>（</w:t>
      </w:r>
      <w:r>
        <w:rPr>
          <w:rFonts w:hint="eastAsia"/>
          <w:color w:val="auto"/>
          <w:spacing w:val="4"/>
          <w:lang w:val="en-US" w:eastAsia="zh-CN"/>
        </w:rPr>
        <w:t>2</w:t>
      </w:r>
      <w:r>
        <w:rPr>
          <w:color w:val="auto"/>
          <w:spacing w:val="4"/>
        </w:rPr>
        <w:t>）</w:t>
      </w:r>
      <w:r>
        <w:rPr>
          <w:rFonts w:hint="eastAsia"/>
          <w:color w:val="auto"/>
          <w:spacing w:val="4"/>
          <w:lang w:eastAsia="zh-CN"/>
        </w:rPr>
        <w:t>在学院自评的基础上，</w:t>
      </w:r>
      <w:r>
        <w:rPr>
          <w:color w:val="auto"/>
          <w:spacing w:val="4"/>
        </w:rPr>
        <w:t>按照《</w:t>
      </w:r>
      <w:r>
        <w:rPr>
          <w:rFonts w:hint="eastAsia"/>
          <w:color w:val="auto"/>
          <w:spacing w:val="4"/>
          <w:lang w:eastAsia="zh-CN"/>
        </w:rPr>
        <w:t>三亚学院实验室综合评估要点（试行）</w:t>
      </w:r>
      <w:r>
        <w:rPr>
          <w:color w:val="auto"/>
          <w:spacing w:val="4"/>
        </w:rPr>
        <w:t>》中所列评估内容和</w:t>
      </w:r>
      <w:r>
        <w:rPr>
          <w:rFonts w:hint="eastAsia"/>
          <w:color w:val="auto"/>
          <w:spacing w:val="4"/>
          <w:lang w:eastAsia="zh-CN"/>
        </w:rPr>
        <w:t>支撑材料</w:t>
      </w:r>
      <w:r>
        <w:rPr>
          <w:color w:val="auto"/>
          <w:spacing w:val="4"/>
        </w:rPr>
        <w:t>，</w:t>
      </w:r>
      <w:r>
        <w:rPr>
          <w:rFonts w:hint="eastAsia"/>
          <w:color w:val="auto"/>
          <w:spacing w:val="4"/>
          <w:lang w:eastAsia="zh-CN"/>
        </w:rPr>
        <w:t>结合期末实验室检查，对各学院实验室开展评估工作。</w:t>
      </w:r>
    </w:p>
    <w:p w14:paraId="39EFA6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671" w:firstLineChars="200"/>
        <w:jc w:val="both"/>
        <w:textAlignment w:val="baseline"/>
        <w:rPr>
          <w:rFonts w:hint="eastAsia" w:ascii="仿宋" w:hAnsi="仿宋" w:eastAsia="仿宋" w:cs="仿宋"/>
          <w:b/>
          <w:bCs/>
          <w:color w:val="auto"/>
          <w:spacing w:val="7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32"/>
          <w:szCs w:val="32"/>
        </w:rPr>
        <w:t>四、实验室的评估内容</w:t>
      </w:r>
    </w:p>
    <w:p w14:paraId="0EA51E06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36" w:firstLineChars="200"/>
        <w:jc w:val="both"/>
        <w:textAlignment w:val="baseline"/>
        <w:rPr>
          <w:rFonts w:hint="eastAsia"/>
          <w:color w:val="auto"/>
          <w:spacing w:val="4"/>
          <w:lang w:val="en-US" w:eastAsia="zh-CN"/>
        </w:rPr>
      </w:pPr>
      <w:r>
        <w:rPr>
          <w:color w:val="auto"/>
          <w:spacing w:val="4"/>
        </w:rPr>
        <w:t>（1）实验室综合效益评估的内容包括：</w:t>
      </w:r>
      <w:r>
        <w:rPr>
          <w:rFonts w:hint="eastAsia"/>
          <w:color w:val="auto"/>
          <w:vertAlign w:val="baseline"/>
          <w:lang w:val="en-US" w:eastAsia="zh-CN"/>
        </w:rPr>
        <w:t>实验室管理责任体系</w:t>
      </w:r>
      <w:r>
        <w:rPr>
          <w:rFonts w:hint="eastAsia"/>
          <w:color w:val="auto"/>
          <w:spacing w:val="4"/>
          <w:lang w:eastAsia="zh-CN"/>
        </w:rPr>
        <w:t>、</w:t>
      </w:r>
      <w:r>
        <w:rPr>
          <w:rFonts w:hint="eastAsia"/>
          <w:color w:val="auto"/>
          <w:vertAlign w:val="baseline"/>
          <w:lang w:val="en-US" w:eastAsia="zh-CN"/>
        </w:rPr>
        <w:t>学院规章制度</w:t>
      </w:r>
      <w:r>
        <w:rPr>
          <w:rFonts w:hint="eastAsia"/>
          <w:color w:val="auto"/>
          <w:spacing w:val="4"/>
          <w:lang w:eastAsia="zh-CN"/>
        </w:rPr>
        <w:t>、</w:t>
      </w:r>
      <w:r>
        <w:rPr>
          <w:rFonts w:hint="eastAsia"/>
          <w:color w:val="auto"/>
          <w:vertAlign w:val="baseline"/>
          <w:lang w:val="en-US" w:eastAsia="zh-CN"/>
        </w:rPr>
        <w:t>实验室安全管理</w:t>
      </w:r>
      <w:r>
        <w:rPr>
          <w:rFonts w:hint="eastAsia"/>
          <w:color w:val="auto"/>
          <w:spacing w:val="4"/>
          <w:lang w:eastAsia="zh-CN"/>
        </w:rPr>
        <w:t>、</w:t>
      </w:r>
      <w:r>
        <w:rPr>
          <w:rFonts w:hint="default"/>
          <w:color w:val="auto"/>
          <w:vertAlign w:val="baseline"/>
          <w:lang w:val="en-US" w:eastAsia="zh-CN"/>
        </w:rPr>
        <w:t>教学和课程支撑</w:t>
      </w:r>
      <w:r>
        <w:rPr>
          <w:rFonts w:hint="eastAsia"/>
          <w:color w:val="auto"/>
          <w:spacing w:val="4"/>
          <w:lang w:eastAsia="zh-CN"/>
        </w:rPr>
        <w:t>和</w:t>
      </w:r>
      <w:r>
        <w:rPr>
          <w:rFonts w:hint="eastAsia"/>
          <w:color w:val="auto"/>
          <w:vertAlign w:val="baseline"/>
          <w:lang w:val="en-US" w:eastAsia="zh-CN"/>
        </w:rPr>
        <w:t>实验室利用效能</w:t>
      </w:r>
      <w:r>
        <w:rPr>
          <w:rFonts w:hint="eastAsia"/>
          <w:color w:val="auto"/>
          <w:spacing w:val="4"/>
          <w:lang w:eastAsia="zh-CN"/>
        </w:rPr>
        <w:t>五</w:t>
      </w:r>
      <w:r>
        <w:rPr>
          <w:color w:val="auto"/>
          <w:spacing w:val="4"/>
        </w:rPr>
        <w:t>部分。</w:t>
      </w:r>
    </w:p>
    <w:p w14:paraId="1B95FC0C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36" w:firstLineChars="200"/>
        <w:jc w:val="both"/>
        <w:textAlignment w:val="baseline"/>
        <w:rPr>
          <w:rFonts w:hint="default" w:eastAsia="仿宋"/>
          <w:color w:val="auto"/>
          <w:spacing w:val="4"/>
          <w:lang w:val="en-US" w:eastAsia="zh-CN"/>
        </w:rPr>
      </w:pPr>
      <w:r>
        <w:rPr>
          <w:rFonts w:hint="eastAsia"/>
          <w:color w:val="auto"/>
          <w:spacing w:val="4"/>
          <w:lang w:eastAsia="zh-CN"/>
        </w:rPr>
        <w:t>（</w:t>
      </w:r>
      <w:r>
        <w:rPr>
          <w:rFonts w:hint="eastAsia"/>
          <w:color w:val="auto"/>
          <w:spacing w:val="4"/>
          <w:lang w:val="en-US" w:eastAsia="zh-CN"/>
        </w:rPr>
        <w:t>2）为加强大型仪器设备的使用效益，按照《三亚学院实验仪器设备开放共享管理办法（试行）》文件精神，对价值10万以上的实验室大型仪器进行评估，评估内容包括大型仪器使用率、共享服务情况以及其他相关方面。实验室大型仪器的评估有助于全面了解仪器的使用情况和管理水平，为二级学院后续的仪器购置、调配和维护提供决策依据。</w:t>
      </w:r>
    </w:p>
    <w:p w14:paraId="58FBA87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671" w:firstLineChars="200"/>
        <w:jc w:val="both"/>
        <w:textAlignment w:val="baseline"/>
        <w:rPr>
          <w:rFonts w:hint="eastAsia" w:ascii="仿宋" w:hAnsi="仿宋" w:eastAsia="仿宋" w:cs="仿宋"/>
          <w:b/>
          <w:bCs/>
          <w:color w:val="auto"/>
          <w:spacing w:val="7"/>
          <w:sz w:val="32"/>
          <w:szCs w:val="32"/>
        </w:rPr>
      </w:pPr>
    </w:p>
    <w:p w14:paraId="333F476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671" w:firstLineChars="200"/>
        <w:jc w:val="both"/>
        <w:textAlignment w:val="baseline"/>
        <w:rPr>
          <w:rFonts w:hint="eastAsia" w:ascii="仿宋" w:hAnsi="仿宋" w:eastAsia="仿宋" w:cs="仿宋"/>
          <w:b/>
          <w:bCs/>
          <w:color w:val="auto"/>
          <w:spacing w:val="7"/>
          <w:sz w:val="32"/>
          <w:szCs w:val="32"/>
        </w:rPr>
      </w:pPr>
    </w:p>
    <w:p w14:paraId="3B56020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671" w:firstLineChars="200"/>
        <w:jc w:val="both"/>
        <w:textAlignment w:val="baseline"/>
        <w:rPr>
          <w:rFonts w:hint="eastAsia" w:ascii="仿宋" w:hAnsi="仿宋" w:eastAsia="仿宋" w:cs="仿宋"/>
          <w:b/>
          <w:bCs/>
          <w:color w:val="auto"/>
          <w:spacing w:val="7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32"/>
          <w:szCs w:val="32"/>
        </w:rPr>
        <w:t>五、评估时间</w:t>
      </w:r>
    </w:p>
    <w:p w14:paraId="5F343070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36" w:firstLineChars="200"/>
        <w:jc w:val="both"/>
        <w:textAlignment w:val="baseline"/>
        <w:rPr>
          <w:rFonts w:hint="default" w:eastAsia="仿宋"/>
          <w:color w:val="auto"/>
          <w:lang w:val="en-US" w:eastAsia="zh-CN"/>
        </w:rPr>
      </w:pPr>
      <w:r>
        <w:rPr>
          <w:rFonts w:hint="eastAsia"/>
          <w:color w:val="auto"/>
          <w:spacing w:val="4"/>
          <w:lang w:val="en-US" w:eastAsia="zh-CN"/>
        </w:rPr>
        <w:t>评估时间为本学期的3月-6月，此后每学年的9月份作为常规工作进行开展。</w:t>
      </w:r>
    </w:p>
    <w:p w14:paraId="1D1FA26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671" w:firstLineChars="200"/>
        <w:jc w:val="both"/>
        <w:textAlignment w:val="baseline"/>
        <w:rPr>
          <w:rFonts w:hint="eastAsia" w:ascii="仿宋" w:hAnsi="仿宋" w:eastAsia="仿宋" w:cs="仿宋"/>
          <w:b/>
          <w:bCs/>
          <w:color w:val="auto"/>
          <w:spacing w:val="7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32"/>
          <w:szCs w:val="32"/>
        </w:rPr>
        <w:t>六、</w:t>
      </w:r>
      <w:r>
        <w:rPr>
          <w:rFonts w:hint="eastAsia" w:ascii="仿宋" w:hAnsi="仿宋" w:eastAsia="仿宋" w:cs="仿宋"/>
          <w:b/>
          <w:bCs/>
          <w:color w:val="auto"/>
          <w:spacing w:val="7"/>
          <w:sz w:val="32"/>
          <w:szCs w:val="32"/>
          <w:lang w:eastAsia="zh-CN"/>
        </w:rPr>
        <w:t>工作要求</w:t>
      </w:r>
    </w:p>
    <w:p w14:paraId="684BAE5B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36" w:firstLineChars="200"/>
        <w:jc w:val="both"/>
        <w:textAlignment w:val="baseline"/>
        <w:rPr>
          <w:color w:val="auto"/>
          <w:spacing w:val="4"/>
        </w:rPr>
      </w:pPr>
      <w:r>
        <w:rPr>
          <w:rFonts w:hint="eastAsia"/>
          <w:color w:val="auto"/>
          <w:spacing w:val="4"/>
          <w:lang w:val="en-US" w:eastAsia="zh-CN"/>
        </w:rPr>
        <w:t>1</w:t>
      </w:r>
      <w:r>
        <w:rPr>
          <w:color w:val="auto"/>
          <w:spacing w:val="4"/>
        </w:rPr>
        <w:t>.各二级学院要对实验室综合效益评估进行全面的总结、分析，充分利用评估结果，采取切实有效的措施，努力提高实验室</w:t>
      </w:r>
      <w:r>
        <w:rPr>
          <w:rFonts w:hint="eastAsia"/>
          <w:color w:val="auto"/>
          <w:spacing w:val="4"/>
          <w:lang w:eastAsia="zh-CN"/>
        </w:rPr>
        <w:t>在教学、科研、大学生竞赛和产教融合等方面的</w:t>
      </w:r>
      <w:r>
        <w:rPr>
          <w:color w:val="auto"/>
          <w:spacing w:val="4"/>
        </w:rPr>
        <w:t>综合效益。</w:t>
      </w:r>
    </w:p>
    <w:p w14:paraId="1C4255B2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36" w:firstLineChars="200"/>
        <w:jc w:val="both"/>
        <w:textAlignment w:val="baseline"/>
        <w:rPr>
          <w:color w:val="auto"/>
          <w:spacing w:val="4"/>
        </w:rPr>
      </w:pPr>
      <w:r>
        <w:rPr>
          <w:rFonts w:hint="eastAsia"/>
          <w:color w:val="auto"/>
          <w:spacing w:val="4"/>
          <w:lang w:val="en-US" w:eastAsia="zh-CN"/>
        </w:rPr>
        <w:t>2</w:t>
      </w:r>
      <w:r>
        <w:rPr>
          <w:color w:val="auto"/>
          <w:spacing w:val="4"/>
        </w:rPr>
        <w:t>.</w:t>
      </w:r>
      <w:r>
        <w:rPr>
          <w:rFonts w:hint="eastAsia"/>
          <w:color w:val="auto"/>
          <w:spacing w:val="4"/>
          <w:lang w:eastAsia="zh-CN"/>
        </w:rPr>
        <w:t>实验室管理中心</w:t>
      </w:r>
      <w:r>
        <w:rPr>
          <w:color w:val="auto"/>
          <w:spacing w:val="4"/>
        </w:rPr>
        <w:t>将把实验室综合效益评估结果作为今后实验室投入、</w:t>
      </w:r>
      <w:r>
        <w:rPr>
          <w:rFonts w:hint="eastAsia"/>
          <w:color w:val="auto"/>
          <w:spacing w:val="4"/>
          <w:lang w:eastAsia="zh-CN"/>
        </w:rPr>
        <w:t>学院</w:t>
      </w:r>
      <w:r>
        <w:rPr>
          <w:color w:val="auto"/>
          <w:spacing w:val="4"/>
        </w:rPr>
        <w:t>年终考核的重要依据。对综合效益好、工作水平高的实验室予以表彰，并重点投入；对效益低下、工作水平上不去的实验室减少甚至停止投</w:t>
      </w:r>
      <w:r>
        <w:rPr>
          <w:rFonts w:hint="eastAsia"/>
          <w:color w:val="auto"/>
          <w:spacing w:val="4"/>
          <w:lang w:eastAsia="zh-CN"/>
        </w:rPr>
        <w:t>入</w:t>
      </w:r>
      <w:r>
        <w:rPr>
          <w:color w:val="auto"/>
          <w:spacing w:val="4"/>
        </w:rPr>
        <w:t>，进行整顿，限期改进，以达到“发挥效益，提高水平”的目标。</w:t>
      </w:r>
    </w:p>
    <w:p w14:paraId="522DA550">
      <w:pPr>
        <w:spacing w:line="263" w:lineRule="auto"/>
        <w:rPr>
          <w:rFonts w:ascii="Arial"/>
          <w:sz w:val="21"/>
        </w:rPr>
      </w:pPr>
    </w:p>
    <w:p w14:paraId="3B60AD3D">
      <w:pPr>
        <w:spacing w:line="263" w:lineRule="auto"/>
        <w:rPr>
          <w:rFonts w:ascii="Arial"/>
          <w:sz w:val="21"/>
        </w:rPr>
      </w:pPr>
    </w:p>
    <w:p w14:paraId="7074BA5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36" w:firstLineChars="200"/>
        <w:jc w:val="both"/>
        <w:textAlignment w:val="baseline"/>
        <w:rPr>
          <w:rFonts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 w:val="en-US" w:eastAsia="en-US" w:bidi="ar-SA"/>
        </w:rPr>
      </w:pPr>
      <w:r>
        <w:rPr>
          <w:rFonts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 w:val="en-US" w:eastAsia="en-US" w:bidi="ar-SA"/>
        </w:rPr>
        <w:t>附件：</w:t>
      </w:r>
    </w:p>
    <w:p w14:paraId="00DF652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36" w:firstLineChars="200"/>
        <w:jc w:val="both"/>
        <w:textAlignment w:val="baseline"/>
        <w:rPr>
          <w:rStyle w:val="10"/>
          <w:rFonts w:hint="eastAsia" w:ascii="仿宋" w:hAnsi="仿宋" w:eastAsia="仿宋" w:cs="仿宋"/>
          <w:snapToGrid w:val="0"/>
          <w:color w:val="0000FF"/>
          <w:spacing w:val="4"/>
          <w:kern w:val="0"/>
          <w:sz w:val="31"/>
          <w:szCs w:val="31"/>
          <w:lang w:val="en-US" w:eastAsia="zh-CN" w:bidi="ar-SA"/>
        </w:rPr>
      </w:pPr>
      <w:r>
        <w:rPr>
          <w:rStyle w:val="10"/>
          <w:rFonts w:hint="eastAsia" w:ascii="仿宋" w:hAnsi="仿宋" w:eastAsia="仿宋" w:cs="仿宋"/>
          <w:snapToGrid w:val="0"/>
          <w:color w:val="0000FF"/>
          <w:spacing w:val="4"/>
          <w:kern w:val="0"/>
          <w:sz w:val="31"/>
          <w:szCs w:val="31"/>
          <w:lang w:val="en-US" w:eastAsia="zh-CN" w:bidi="ar-SA"/>
        </w:rPr>
        <w:fldChar w:fldCharType="begin"/>
      </w:r>
      <w:r>
        <w:rPr>
          <w:rStyle w:val="10"/>
          <w:rFonts w:hint="eastAsia" w:ascii="仿宋" w:hAnsi="仿宋" w:eastAsia="仿宋" w:cs="仿宋"/>
          <w:snapToGrid w:val="0"/>
          <w:color w:val="0000FF"/>
          <w:spacing w:val="4"/>
          <w:kern w:val="0"/>
          <w:sz w:val="31"/>
          <w:szCs w:val="31"/>
          <w:lang w:val="en-US" w:eastAsia="zh-CN" w:bidi="ar-SA"/>
        </w:rPr>
        <w:instrText xml:space="preserve"> HYPERLINK "https://kdocs.cn/l/crg59MRGRKq7" </w:instrText>
      </w:r>
      <w:r>
        <w:rPr>
          <w:rStyle w:val="10"/>
          <w:rFonts w:hint="eastAsia" w:ascii="仿宋" w:hAnsi="仿宋" w:eastAsia="仿宋" w:cs="仿宋"/>
          <w:snapToGrid w:val="0"/>
          <w:color w:val="0000FF"/>
          <w:spacing w:val="4"/>
          <w:kern w:val="0"/>
          <w:sz w:val="31"/>
          <w:szCs w:val="31"/>
          <w:lang w:val="en-US" w:eastAsia="zh-CN" w:bidi="ar-SA"/>
        </w:rPr>
        <w:fldChar w:fldCharType="separate"/>
      </w:r>
      <w:r>
        <w:rPr>
          <w:rStyle w:val="10"/>
          <w:rFonts w:hint="eastAsia" w:ascii="仿宋" w:hAnsi="仿宋" w:eastAsia="仿宋" w:cs="仿宋"/>
          <w:snapToGrid w:val="0"/>
          <w:color w:val="0000FF"/>
          <w:spacing w:val="4"/>
          <w:kern w:val="0"/>
          <w:sz w:val="31"/>
          <w:szCs w:val="31"/>
          <w:lang w:val="en-US" w:eastAsia="zh-CN" w:bidi="ar-SA"/>
        </w:rPr>
        <w:t>1.三亚学院实验室综合评估要点（试行）</w:t>
      </w:r>
    </w:p>
    <w:p w14:paraId="0A89618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36" w:firstLineChars="200"/>
        <w:jc w:val="both"/>
        <w:textAlignment w:val="baseline"/>
        <w:rPr>
          <w:rStyle w:val="10"/>
          <w:rFonts w:hint="eastAsia" w:ascii="仿宋" w:hAnsi="仿宋" w:eastAsia="仿宋" w:cs="仿宋"/>
          <w:snapToGrid w:val="0"/>
          <w:spacing w:val="4"/>
          <w:kern w:val="0"/>
          <w:sz w:val="31"/>
          <w:szCs w:val="31"/>
          <w:lang w:val="en-US" w:eastAsia="zh-CN" w:bidi="ar-SA"/>
        </w:rPr>
      </w:pPr>
      <w:r>
        <w:rPr>
          <w:rStyle w:val="10"/>
          <w:rFonts w:hint="eastAsia" w:ascii="仿宋" w:hAnsi="仿宋" w:eastAsia="仿宋" w:cs="仿宋"/>
          <w:snapToGrid w:val="0"/>
          <w:color w:val="0000FF"/>
          <w:spacing w:val="4"/>
          <w:kern w:val="0"/>
          <w:sz w:val="31"/>
          <w:szCs w:val="31"/>
          <w:lang w:val="en-US" w:eastAsia="zh-CN" w:bidi="ar-SA"/>
        </w:rPr>
        <w:fldChar w:fldCharType="end"/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 w:val="en-US" w:eastAsia="zh-CN" w:bidi="ar-SA"/>
        </w:rPr>
        <w:fldChar w:fldCharType="begin"/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 w:val="en-US" w:eastAsia="zh-CN" w:bidi="ar-SA"/>
        </w:rPr>
        <w:instrText xml:space="preserve"> HYPERLINK "https://kdocs.cn/l/ckJaAvKKesGW" </w:instrText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 w:val="en-US" w:eastAsia="zh-CN" w:bidi="ar-SA"/>
        </w:rPr>
        <w:fldChar w:fldCharType="separate"/>
      </w:r>
      <w:r>
        <w:rPr>
          <w:rStyle w:val="10"/>
          <w:rFonts w:hint="eastAsia" w:ascii="仿宋" w:hAnsi="仿宋" w:eastAsia="仿宋" w:cs="仿宋"/>
          <w:snapToGrid w:val="0"/>
          <w:spacing w:val="4"/>
          <w:kern w:val="0"/>
          <w:sz w:val="31"/>
          <w:szCs w:val="31"/>
          <w:lang w:val="en-US" w:eastAsia="zh-CN" w:bidi="ar-SA"/>
        </w:rPr>
        <w:t>2.2025年度</w:t>
      </w:r>
      <w:r>
        <w:rPr>
          <w:rStyle w:val="10"/>
          <w:rFonts w:hint="eastAsia" w:ascii="仿宋" w:hAnsi="仿宋" w:eastAsia="仿宋" w:cs="仿宋"/>
          <w:snapToGrid w:val="0"/>
          <w:spacing w:val="4"/>
          <w:kern w:val="0"/>
          <w:sz w:val="31"/>
          <w:szCs w:val="31"/>
          <w:u w:val="single"/>
          <w:lang w:val="en-US" w:eastAsia="zh-CN" w:bidi="ar-SA"/>
        </w:rPr>
        <w:t xml:space="preserve">     </w:t>
      </w:r>
      <w:r>
        <w:rPr>
          <w:rStyle w:val="10"/>
          <w:rFonts w:hint="eastAsia" w:ascii="仿宋" w:hAnsi="仿宋" w:eastAsia="仿宋" w:cs="仿宋"/>
          <w:snapToGrid w:val="0"/>
          <w:spacing w:val="4"/>
          <w:kern w:val="0"/>
          <w:sz w:val="31"/>
          <w:szCs w:val="31"/>
          <w:lang w:val="en-US" w:eastAsia="zh-CN" w:bidi="ar-SA"/>
        </w:rPr>
        <w:t>学院实验室工作总结报告（提纲）</w:t>
      </w:r>
    </w:p>
    <w:p w14:paraId="68D1736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36" w:firstLineChars="200"/>
        <w:jc w:val="both"/>
        <w:textAlignment w:val="baseline"/>
        <w:rPr>
          <w:rStyle w:val="10"/>
          <w:rFonts w:hint="eastAsia" w:ascii="仿宋" w:hAnsi="仿宋" w:eastAsia="仿宋" w:cs="仿宋"/>
          <w:snapToGrid w:val="0"/>
          <w:spacing w:val="4"/>
          <w:kern w:val="0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 w:val="en-US" w:eastAsia="zh-CN" w:bidi="ar-SA"/>
        </w:rPr>
        <w:fldChar w:fldCharType="end"/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 w:val="en-US" w:eastAsia="zh-CN" w:bidi="ar-SA"/>
        </w:rPr>
        <w:fldChar w:fldCharType="begin"/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 w:val="en-US" w:eastAsia="zh-CN" w:bidi="ar-SA"/>
        </w:rPr>
        <w:instrText xml:space="preserve"> HYPERLINK "https://kdocs.cn/l/claq0kMvYSfr" </w:instrText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 w:val="en-US" w:eastAsia="zh-CN" w:bidi="ar-SA"/>
        </w:rPr>
        <w:fldChar w:fldCharType="separate"/>
      </w:r>
      <w:r>
        <w:rPr>
          <w:rStyle w:val="10"/>
          <w:rFonts w:hint="eastAsia" w:ascii="仿宋" w:hAnsi="仿宋" w:eastAsia="仿宋" w:cs="仿宋"/>
          <w:snapToGrid w:val="0"/>
          <w:spacing w:val="4"/>
          <w:kern w:val="0"/>
          <w:sz w:val="31"/>
          <w:szCs w:val="31"/>
          <w:lang w:val="en-US" w:eastAsia="zh-CN" w:bidi="ar-SA"/>
        </w:rPr>
        <w:t>3.实验室使用率、科教融汇、产教融合成果产出汇总表</w:t>
      </w:r>
    </w:p>
    <w:p w14:paraId="4A0F58B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 w:val="en-US" w:eastAsia="zh-CN" w:bidi="ar-SA"/>
        </w:rPr>
        <w:fldChar w:fldCharType="end"/>
      </w:r>
    </w:p>
    <w:p w14:paraId="15D4F294">
      <w:pPr>
        <w:jc w:val="right"/>
        <w:rPr>
          <w:lang w:val="en-US" w:eastAsia="en-US"/>
        </w:rPr>
      </w:pPr>
    </w:p>
    <w:p w14:paraId="59E727A5">
      <w:pPr>
        <w:rPr>
          <w:lang w:val="en-US" w:eastAsia="en-US"/>
        </w:rPr>
      </w:pPr>
    </w:p>
    <w:p w14:paraId="6BC9DB6A">
      <w:pPr>
        <w:rPr>
          <w:lang w:val="en-US" w:eastAsia="en-US"/>
        </w:rPr>
      </w:pPr>
    </w:p>
    <w:p w14:paraId="522F954F">
      <w:pPr>
        <w:rPr>
          <w:lang w:val="en-US" w:eastAsia="en-US"/>
        </w:rPr>
      </w:pPr>
    </w:p>
    <w:p w14:paraId="1E4749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教务处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实验室管理中心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br w:type="textWrapping"/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2025年3月19日</w:t>
      </w:r>
    </w:p>
    <w:sectPr>
      <w:footerReference r:id="rId5" w:type="default"/>
      <w:pgSz w:w="11906" w:h="16839"/>
      <w:pgMar w:top="1310" w:right="1475" w:bottom="1310" w:left="850" w:header="0" w:footer="1201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714A2A4B-D8D7-48CA-91A2-E8481DCFAFF7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4657C00-3A19-45FE-ADEA-5825846850C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EDBA9D4F-30CA-4845-B44D-A1FBCFBB763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9C9477">
    <w:pPr>
      <w:spacing w:line="174" w:lineRule="auto"/>
      <w:ind w:left="7705"/>
      <w:rPr>
        <w:rFonts w:ascii="宋体" w:hAnsi="宋体" w:eastAsia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ED550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ED550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displayBackgroundShape w:val="1"/>
  <w:embedTrueTypeFonts/>
  <w:saveSubsetFonts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2Q3OTU3ODFiOGUyOTIwZGE3YWZhMjUyZWUyZDU4ZTIifQ=="/>
  </w:docVars>
  <w:rsids>
    <w:rsidRoot w:val="00000000"/>
    <w:rsid w:val="0B805C4F"/>
    <w:rsid w:val="0D3E2CEB"/>
    <w:rsid w:val="0F6B5D0D"/>
    <w:rsid w:val="0FC879BB"/>
    <w:rsid w:val="12C05ED5"/>
    <w:rsid w:val="184A41CF"/>
    <w:rsid w:val="24796E62"/>
    <w:rsid w:val="24894712"/>
    <w:rsid w:val="25247518"/>
    <w:rsid w:val="2F6B62F3"/>
    <w:rsid w:val="304C3A90"/>
    <w:rsid w:val="33923FE8"/>
    <w:rsid w:val="340E70F2"/>
    <w:rsid w:val="3A5E75E3"/>
    <w:rsid w:val="42625601"/>
    <w:rsid w:val="48425B85"/>
    <w:rsid w:val="49EF15E2"/>
    <w:rsid w:val="4AC35C14"/>
    <w:rsid w:val="4BD0195D"/>
    <w:rsid w:val="4C4454C8"/>
    <w:rsid w:val="4FE45E8F"/>
    <w:rsid w:val="501B76B4"/>
    <w:rsid w:val="51AF7B0E"/>
    <w:rsid w:val="51D74865"/>
    <w:rsid w:val="53452D12"/>
    <w:rsid w:val="54714405"/>
    <w:rsid w:val="55DE5FD9"/>
    <w:rsid w:val="582044AF"/>
    <w:rsid w:val="586E4B97"/>
    <w:rsid w:val="5FA2055F"/>
    <w:rsid w:val="5FE6312C"/>
    <w:rsid w:val="62D36206"/>
    <w:rsid w:val="6A54224E"/>
    <w:rsid w:val="6AC55F94"/>
    <w:rsid w:val="6DEC505A"/>
    <w:rsid w:val="73032F1C"/>
    <w:rsid w:val="76784770"/>
    <w:rsid w:val="779401F9"/>
    <w:rsid w:val="7C033A39"/>
    <w:rsid w:val="7C08355A"/>
    <w:rsid w:val="7F5977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黑体" w:cs="宋体"/>
      <w:b/>
      <w:kern w:val="0"/>
      <w:sz w:val="28"/>
      <w:szCs w:val="36"/>
      <w:lang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llowedHyperlink"/>
    <w:basedOn w:val="8"/>
    <w:qFormat/>
    <w:uiPriority w:val="0"/>
    <w:rPr>
      <w:color w:val="800080"/>
      <w:u w:val="single"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1289</Words>
  <Characters>1306</Characters>
  <TotalTime>21</TotalTime>
  <ScaleCrop>false</ScaleCrop>
  <LinksUpToDate>false</LinksUpToDate>
  <CharactersWithSpaces>1314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2024-03-25T16:03:00Z</dcterms:created>
  <dc:creator>Liu-PC</dc:creator>
  <cp:lastModifiedBy>Cecilia</cp:lastModifiedBy>
  <cp:lastPrinted>2025-03-19T00:03:00Z</cp:lastPrinted>
  <dcterms:modified xsi:type="dcterms:W3CDTF">2025-03-19T07:13:37Z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2025-03-03T14:25:14Z</vt:filetime>
  </property>
  <property fmtid="{D5CDD505-2E9C-101B-9397-08002B2CF9AE}" pid="4" name="KSOProductBuildVer">
    <vt:lpwstr>2052-12.1.0.20305</vt:lpwstr>
  </property>
  <property fmtid="{D5CDD505-2E9C-101B-9397-08002B2CF9AE}" pid="5" name="ICV">
    <vt:lpwstr>39827397708F464B910CA2BD2BDA370F_12</vt:lpwstr>
  </property>
  <property fmtid="{D5CDD505-2E9C-101B-9397-08002B2CF9AE}" pid="6" name="KSOTemplateDocerSaveRecord">
    <vt:lpwstr>eyJoZGlkIjoiY2Q3OTU3ODFiOGUyOTIwZGE3YWZhMjUyZWUyZDU4ZTIiLCJ1c2VySWQiOiIxMTIyOTI1MjY5In0=</vt:lpwstr>
  </property>
</Properties>
</file>