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0D9ABA">
      <w:pPr>
        <w:adjustRightInd w:val="0"/>
        <w:snapToGrid w:val="0"/>
        <w:spacing w:after="156" w:afterLines="50" w:line="500" w:lineRule="exact"/>
        <w:rPr>
          <w:rFonts w:eastAsia="仿宋"/>
          <w:sz w:val="36"/>
          <w:szCs w:val="30"/>
        </w:rPr>
      </w:pPr>
      <w:r>
        <w:rPr>
          <w:rFonts w:hint="default" w:ascii="Times New Roman" w:hAnsi="Times New Roman" w:eastAsia="黑体" w:cs="Times New Roman"/>
          <w:bCs/>
          <w:sz w:val="32"/>
          <w:szCs w:val="30"/>
        </w:rPr>
        <w:t>附件</w:t>
      </w:r>
      <w:r>
        <w:rPr>
          <w:rFonts w:hint="default" w:ascii="Times New Roman" w:hAnsi="Times New Roman" w:eastAsia="黑体" w:cs="Times New Roman"/>
          <w:bCs/>
          <w:sz w:val="32"/>
          <w:szCs w:val="30"/>
          <w:lang w:val="en-US" w:eastAsia="zh-CN"/>
        </w:rPr>
        <w:t>2</w:t>
      </w:r>
      <w:r>
        <w:rPr>
          <w:rFonts w:hint="default" w:ascii="Times New Roman" w:hAnsi="Times New Roman" w:eastAsia="仿宋" w:cs="Times New Roman"/>
          <w:sz w:val="36"/>
          <w:szCs w:val="30"/>
        </w:rPr>
        <w:t xml:space="preserve">   </w:t>
      </w:r>
      <w:r>
        <w:rPr>
          <w:rFonts w:eastAsia="仿宋"/>
          <w:sz w:val="36"/>
          <w:szCs w:val="30"/>
        </w:rPr>
        <w:t xml:space="preserve">         </w:t>
      </w:r>
    </w:p>
    <w:p w14:paraId="03F5BD2C">
      <w:pPr>
        <w:adjustRightInd w:val="0"/>
        <w:snapToGrid w:val="0"/>
        <w:spacing w:after="156" w:afterLines="50" w:line="500" w:lineRule="exact"/>
        <w:jc w:val="center"/>
        <w:rPr>
          <w:rFonts w:ascii="方正小标宋简体" w:eastAsia="方正小标宋简体"/>
          <w:sz w:val="44"/>
          <w:szCs w:val="36"/>
        </w:rPr>
      </w:pPr>
      <w:r>
        <w:rPr>
          <w:rFonts w:hint="eastAsia" w:ascii="方正小标宋简体" w:eastAsia="方正小标宋简体"/>
          <w:sz w:val="44"/>
          <w:szCs w:val="36"/>
        </w:rPr>
        <w:t>高等学校实验室安全检查项目表（</w:t>
      </w:r>
      <w:r>
        <w:rPr>
          <w:rFonts w:eastAsia="方正小标宋简体"/>
          <w:sz w:val="44"/>
          <w:szCs w:val="36"/>
        </w:rPr>
        <w:t>2026</w:t>
      </w:r>
      <w:r>
        <w:rPr>
          <w:rFonts w:hint="eastAsia" w:ascii="方正小标宋简体" w:eastAsia="方正小标宋简体"/>
          <w:sz w:val="44"/>
          <w:szCs w:val="36"/>
        </w:rPr>
        <w:t>年）</w:t>
      </w:r>
    </w:p>
    <w:tbl>
      <w:tblPr>
        <w:tblStyle w:val="18"/>
        <w:tblW w:w="148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8"/>
        <w:gridCol w:w="3703"/>
        <w:gridCol w:w="7777"/>
        <w:gridCol w:w="2543"/>
      </w:tblGrid>
      <w:tr w14:paraId="22B6B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848" w:type="dxa"/>
            <w:tcMar>
              <w:left w:w="45" w:type="dxa"/>
              <w:right w:w="45" w:type="dxa"/>
            </w:tcMar>
            <w:vAlign w:val="center"/>
          </w:tcPr>
          <w:p w14:paraId="0566EE2C">
            <w:pPr>
              <w:spacing w:line="300" w:lineRule="exact"/>
              <w:rPr>
                <w:rFonts w:hint="eastAsia" w:ascii="黑体" w:hAnsi="黑体" w:eastAsia="黑体"/>
                <w:b/>
                <w:bCs/>
                <w:color w:val="auto"/>
                <w:kern w:val="0"/>
                <w:szCs w:val="21"/>
              </w:rPr>
            </w:pPr>
            <w:r>
              <w:rPr>
                <w:rFonts w:ascii="黑体" w:hAnsi="黑体" w:eastAsia="黑体"/>
                <w:b/>
                <w:bCs/>
                <w:color w:val="auto"/>
                <w:kern w:val="0"/>
                <w:szCs w:val="21"/>
              </w:rPr>
              <w:t>序号</w:t>
            </w:r>
          </w:p>
        </w:tc>
        <w:tc>
          <w:tcPr>
            <w:tcW w:w="3703" w:type="dxa"/>
            <w:tcMar>
              <w:left w:w="45" w:type="dxa"/>
              <w:right w:w="45" w:type="dxa"/>
            </w:tcMar>
            <w:vAlign w:val="center"/>
          </w:tcPr>
          <w:p w14:paraId="58CBAF67">
            <w:pPr>
              <w:spacing w:line="300" w:lineRule="exact"/>
              <w:rPr>
                <w:rFonts w:hint="eastAsia" w:ascii="黑体" w:hAnsi="黑体" w:eastAsia="黑体"/>
                <w:b/>
                <w:bCs/>
                <w:color w:val="auto"/>
                <w:kern w:val="0"/>
                <w:szCs w:val="21"/>
              </w:rPr>
            </w:pPr>
            <w:r>
              <w:rPr>
                <w:rFonts w:ascii="黑体" w:hAnsi="黑体" w:eastAsia="黑体"/>
                <w:b/>
                <w:bCs/>
                <w:color w:val="auto"/>
                <w:kern w:val="0"/>
                <w:szCs w:val="21"/>
              </w:rPr>
              <w:t>检查项目</w:t>
            </w:r>
          </w:p>
        </w:tc>
        <w:tc>
          <w:tcPr>
            <w:tcW w:w="7777" w:type="dxa"/>
            <w:tcMar>
              <w:left w:w="45" w:type="dxa"/>
              <w:right w:w="45" w:type="dxa"/>
            </w:tcMar>
            <w:vAlign w:val="center"/>
          </w:tcPr>
          <w:p w14:paraId="1914DCB6">
            <w:pPr>
              <w:spacing w:line="300" w:lineRule="exact"/>
              <w:rPr>
                <w:rFonts w:hint="eastAsia" w:ascii="黑体" w:hAnsi="黑体" w:eastAsia="黑体"/>
                <w:b/>
                <w:bCs/>
                <w:color w:val="auto"/>
                <w:kern w:val="0"/>
                <w:szCs w:val="21"/>
              </w:rPr>
            </w:pPr>
            <w:r>
              <w:rPr>
                <w:rFonts w:ascii="黑体" w:hAnsi="黑体" w:eastAsia="黑体"/>
                <w:b/>
                <w:bCs/>
                <w:color w:val="auto"/>
                <w:kern w:val="0"/>
                <w:szCs w:val="21"/>
              </w:rPr>
              <w:t>检查要点</w:t>
            </w:r>
          </w:p>
        </w:tc>
        <w:tc>
          <w:tcPr>
            <w:tcW w:w="2543" w:type="dxa"/>
            <w:tcMar>
              <w:left w:w="45" w:type="dxa"/>
              <w:right w:w="45" w:type="dxa"/>
            </w:tcMar>
            <w:vAlign w:val="center"/>
          </w:tcPr>
          <w:p w14:paraId="5063E0DF">
            <w:pPr>
              <w:spacing w:line="300" w:lineRule="exact"/>
              <w:rPr>
                <w:rFonts w:hint="eastAsia" w:ascii="黑体" w:hAnsi="黑体" w:eastAsia="黑体"/>
                <w:b/>
                <w:bCs/>
                <w:color w:val="auto"/>
                <w:kern w:val="0"/>
                <w:szCs w:val="21"/>
              </w:rPr>
            </w:pPr>
            <w:r>
              <w:rPr>
                <w:rFonts w:ascii="黑体" w:hAnsi="黑体" w:eastAsia="黑体"/>
                <w:b/>
                <w:bCs/>
                <w:color w:val="auto"/>
                <w:kern w:val="0"/>
                <w:szCs w:val="21"/>
              </w:rPr>
              <w:t>情况记录</w:t>
            </w:r>
          </w:p>
        </w:tc>
      </w:tr>
      <w:tr w14:paraId="10ADE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5D8FA1B">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w:t>
            </w:r>
          </w:p>
        </w:tc>
        <w:tc>
          <w:tcPr>
            <w:tcW w:w="14023" w:type="dxa"/>
            <w:gridSpan w:val="3"/>
            <w:tcMar>
              <w:left w:w="45" w:type="dxa"/>
              <w:right w:w="45" w:type="dxa"/>
            </w:tcMar>
            <w:vAlign w:val="center"/>
          </w:tcPr>
          <w:p w14:paraId="7FFFBACB">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责任体系</w:t>
            </w:r>
          </w:p>
        </w:tc>
      </w:tr>
      <w:tr w14:paraId="71205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A98AB9D">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1.1</w:t>
            </w:r>
          </w:p>
        </w:tc>
        <w:tc>
          <w:tcPr>
            <w:tcW w:w="14023" w:type="dxa"/>
            <w:gridSpan w:val="3"/>
            <w:tcMar>
              <w:left w:w="45" w:type="dxa"/>
              <w:right w:w="45" w:type="dxa"/>
            </w:tcMar>
            <w:vAlign w:val="center"/>
          </w:tcPr>
          <w:p w14:paraId="4DFCAA5C">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学校层面安全责任体系</w:t>
            </w:r>
          </w:p>
        </w:tc>
      </w:tr>
      <w:tr w14:paraId="14D57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1979B80">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1.1.1</w:t>
            </w:r>
          </w:p>
        </w:tc>
        <w:tc>
          <w:tcPr>
            <w:tcW w:w="3703" w:type="dxa"/>
            <w:tcMar>
              <w:left w:w="45" w:type="dxa"/>
              <w:right w:w="45" w:type="dxa"/>
            </w:tcMar>
            <w:vAlign w:val="center"/>
          </w:tcPr>
          <w:p w14:paraId="303531E0">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color w:val="auto"/>
                <w:kern w:val="0"/>
                <w:szCs w:val="21"/>
              </w:rPr>
              <w:t>实验室安全工作纳入学校决策研究事项</w:t>
            </w:r>
          </w:p>
        </w:tc>
        <w:tc>
          <w:tcPr>
            <w:tcW w:w="7777" w:type="dxa"/>
            <w:tcMar>
              <w:left w:w="45" w:type="dxa"/>
              <w:right w:w="45" w:type="dxa"/>
            </w:tcMar>
            <w:vAlign w:val="center"/>
          </w:tcPr>
          <w:p w14:paraId="03C736F2">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（1）有学校相关会议（校务会议、党委常委会会议等）纪要；内容包含实验室安全工作</w:t>
            </w:r>
          </w:p>
        </w:tc>
        <w:tc>
          <w:tcPr>
            <w:tcW w:w="2543" w:type="dxa"/>
            <w:tcMar>
              <w:left w:w="45" w:type="dxa"/>
              <w:right w:w="45" w:type="dxa"/>
            </w:tcMar>
            <w:vAlign w:val="center"/>
          </w:tcPr>
          <w:p w14:paraId="0C93955B">
            <w:pPr>
              <w:widowControl/>
              <w:spacing w:line="300" w:lineRule="exact"/>
              <w:rPr>
                <w:rFonts w:hint="default" w:ascii="Times New Roman" w:hAnsi="Times New Roman" w:eastAsia="仿宋_GB2312" w:cs="Times New Roman"/>
                <w:bCs/>
                <w:color w:val="auto"/>
                <w:kern w:val="0"/>
                <w:szCs w:val="21"/>
              </w:rPr>
            </w:pPr>
          </w:p>
        </w:tc>
      </w:tr>
      <w:tr w14:paraId="27EA0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D787771">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1.1.2</w:t>
            </w:r>
          </w:p>
        </w:tc>
        <w:tc>
          <w:tcPr>
            <w:tcW w:w="3703" w:type="dxa"/>
            <w:tcMar>
              <w:left w:w="45" w:type="dxa"/>
              <w:right w:w="45" w:type="dxa"/>
            </w:tcMar>
            <w:vAlign w:val="center"/>
          </w:tcPr>
          <w:p w14:paraId="718B1E73">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color w:val="auto"/>
                <w:kern w:val="0"/>
                <w:szCs w:val="21"/>
              </w:rPr>
              <w:t>有校级实验室安全工作责任人与领导机构</w:t>
            </w:r>
          </w:p>
        </w:tc>
        <w:tc>
          <w:tcPr>
            <w:tcW w:w="7777" w:type="dxa"/>
            <w:tcMar>
              <w:left w:w="45" w:type="dxa"/>
              <w:right w:w="45" w:type="dxa"/>
            </w:tcMar>
            <w:vAlign w:val="center"/>
          </w:tcPr>
          <w:p w14:paraId="011C159F">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有校级正式发文，明确学校党政主要负责人是第一责任人；分管实验室安全工作的校领导是重要领导责任人，协助第一责任人负责实验室安全工作；其他校领导在分管工作范围内对实验室安全工作负有支持、监督和指导职责；设立校级领导机构，明确其部门组成和工作职责，分管实验室安全工作的校领导为该机构负责人</w:t>
            </w:r>
          </w:p>
        </w:tc>
        <w:tc>
          <w:tcPr>
            <w:tcW w:w="2543" w:type="dxa"/>
            <w:tcMar>
              <w:left w:w="45" w:type="dxa"/>
              <w:right w:w="45" w:type="dxa"/>
            </w:tcMar>
            <w:vAlign w:val="center"/>
          </w:tcPr>
          <w:p w14:paraId="2D762158">
            <w:pPr>
              <w:widowControl/>
              <w:spacing w:line="300" w:lineRule="exact"/>
              <w:rPr>
                <w:rFonts w:hint="default" w:ascii="Times New Roman" w:hAnsi="Times New Roman" w:eastAsia="仿宋_GB2312" w:cs="Times New Roman"/>
                <w:bCs/>
                <w:color w:val="auto"/>
                <w:kern w:val="0"/>
                <w:szCs w:val="21"/>
              </w:rPr>
            </w:pPr>
          </w:p>
        </w:tc>
      </w:tr>
      <w:tr w14:paraId="27986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8842B54">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1.1.3</w:t>
            </w:r>
          </w:p>
        </w:tc>
        <w:tc>
          <w:tcPr>
            <w:tcW w:w="3703" w:type="dxa"/>
            <w:tcMar>
              <w:left w:w="45" w:type="dxa"/>
              <w:right w:w="45" w:type="dxa"/>
            </w:tcMar>
            <w:vAlign w:val="center"/>
          </w:tcPr>
          <w:p w14:paraId="617F1649">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有明确的实验室安全管理职能部门</w:t>
            </w:r>
          </w:p>
        </w:tc>
        <w:tc>
          <w:tcPr>
            <w:tcW w:w="7777" w:type="dxa"/>
            <w:tcMar>
              <w:left w:w="45" w:type="dxa"/>
              <w:right w:w="45" w:type="dxa"/>
            </w:tcMar>
            <w:vAlign w:val="center"/>
          </w:tcPr>
          <w:p w14:paraId="6386CBBA">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w:t>
            </w:r>
            <w:r>
              <w:rPr>
                <w:rFonts w:hint="default" w:ascii="Times New Roman" w:hAnsi="Times New Roman" w:eastAsia="仿宋_GB2312" w:cs="Times New Roman"/>
                <w:b/>
                <w:bCs/>
                <w:color w:val="auto"/>
                <w:kern w:val="0"/>
                <w:szCs w:val="21"/>
              </w:rPr>
              <w:t>明确牵头职能部门负责实验室安全工作，相关职能部门切实配合落实工作</w:t>
            </w:r>
          </w:p>
        </w:tc>
        <w:tc>
          <w:tcPr>
            <w:tcW w:w="2543" w:type="dxa"/>
            <w:tcMar>
              <w:left w:w="45" w:type="dxa"/>
              <w:right w:w="45" w:type="dxa"/>
            </w:tcMar>
            <w:vAlign w:val="center"/>
          </w:tcPr>
          <w:p w14:paraId="45429D46">
            <w:pPr>
              <w:widowControl/>
              <w:spacing w:line="300" w:lineRule="exact"/>
              <w:rPr>
                <w:rFonts w:hint="default" w:ascii="Times New Roman" w:hAnsi="Times New Roman" w:eastAsia="仿宋_GB2312" w:cs="Times New Roman"/>
                <w:bCs/>
                <w:color w:val="auto"/>
                <w:kern w:val="0"/>
                <w:szCs w:val="21"/>
              </w:rPr>
            </w:pPr>
          </w:p>
        </w:tc>
      </w:tr>
      <w:tr w14:paraId="37946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C951E86">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1.1.4</w:t>
            </w:r>
          </w:p>
        </w:tc>
        <w:tc>
          <w:tcPr>
            <w:tcW w:w="3703" w:type="dxa"/>
            <w:tcMar>
              <w:left w:w="45" w:type="dxa"/>
              <w:right w:w="45" w:type="dxa"/>
            </w:tcMar>
            <w:vAlign w:val="center"/>
          </w:tcPr>
          <w:p w14:paraId="1FC0C16A">
            <w:pPr>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学校与院系签订实验室安全责任书</w:t>
            </w:r>
          </w:p>
        </w:tc>
        <w:tc>
          <w:tcPr>
            <w:tcW w:w="7777" w:type="dxa"/>
            <w:tcMar>
              <w:left w:w="45" w:type="dxa"/>
              <w:right w:w="45" w:type="dxa"/>
            </w:tcMar>
            <w:vAlign w:val="center"/>
          </w:tcPr>
          <w:p w14:paraId="40C8C4F7">
            <w:pPr>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（4）档案或信息系统里有学校领导与院系负责人每年签字盖章的安全责任书</w:t>
            </w:r>
          </w:p>
        </w:tc>
        <w:tc>
          <w:tcPr>
            <w:tcW w:w="2543" w:type="dxa"/>
            <w:tcMar>
              <w:left w:w="45" w:type="dxa"/>
              <w:right w:w="45" w:type="dxa"/>
            </w:tcMar>
            <w:vAlign w:val="center"/>
          </w:tcPr>
          <w:p w14:paraId="7139202E">
            <w:pPr>
              <w:widowControl/>
              <w:spacing w:line="300" w:lineRule="exact"/>
              <w:rPr>
                <w:rFonts w:hint="default" w:ascii="Times New Roman" w:hAnsi="Times New Roman" w:eastAsia="仿宋_GB2312" w:cs="Times New Roman"/>
                <w:bCs/>
                <w:color w:val="auto"/>
                <w:kern w:val="0"/>
                <w:szCs w:val="21"/>
              </w:rPr>
            </w:pPr>
          </w:p>
        </w:tc>
      </w:tr>
      <w:tr w14:paraId="2C07D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32CCB43">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1.2</w:t>
            </w:r>
          </w:p>
        </w:tc>
        <w:tc>
          <w:tcPr>
            <w:tcW w:w="14023" w:type="dxa"/>
            <w:gridSpan w:val="3"/>
            <w:tcMar>
              <w:left w:w="45" w:type="dxa"/>
              <w:right w:w="45" w:type="dxa"/>
            </w:tcMar>
            <w:vAlign w:val="center"/>
          </w:tcPr>
          <w:p w14:paraId="787E9ADC">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院系层面安全责任体系</w:t>
            </w:r>
          </w:p>
        </w:tc>
      </w:tr>
      <w:tr w14:paraId="02490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485B834">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1.2.1</w:t>
            </w:r>
          </w:p>
        </w:tc>
        <w:tc>
          <w:tcPr>
            <w:tcW w:w="3703" w:type="dxa"/>
            <w:tcMar>
              <w:left w:w="45" w:type="dxa"/>
              <w:right w:w="45" w:type="dxa"/>
            </w:tcMar>
            <w:vAlign w:val="center"/>
          </w:tcPr>
          <w:p w14:paraId="58F874DC">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有院系实验室安全工作队伍</w:t>
            </w:r>
          </w:p>
        </w:tc>
        <w:tc>
          <w:tcPr>
            <w:tcW w:w="7777" w:type="dxa"/>
            <w:tcMar>
              <w:left w:w="45" w:type="dxa"/>
              <w:right w:w="45" w:type="dxa"/>
            </w:tcMar>
            <w:vAlign w:val="center"/>
          </w:tcPr>
          <w:p w14:paraId="4EA8112F">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（5）</w:t>
            </w:r>
            <w:r>
              <w:rPr>
                <w:rFonts w:hint="default" w:ascii="Times New Roman" w:hAnsi="Times New Roman" w:eastAsia="仿宋_GB2312" w:cs="Times New Roman"/>
                <w:b/>
                <w:bCs w:val="0"/>
                <w:color w:val="auto"/>
                <w:kern w:val="0"/>
                <w:szCs w:val="21"/>
              </w:rPr>
              <w:t>院系安全工作队伍由党政负责人、分管实验室安全的领导、院系实验室安全助理或安全主管、实验室负责人、实验室安全员等共同组成。</w:t>
            </w:r>
          </w:p>
          <w:p w14:paraId="20A81C2E">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（6）有带文号的院系文件，如党政联席会/办公会等纪要、通知或制度等明确其内容</w:t>
            </w:r>
          </w:p>
        </w:tc>
        <w:tc>
          <w:tcPr>
            <w:tcW w:w="2543" w:type="dxa"/>
            <w:tcMar>
              <w:left w:w="45" w:type="dxa"/>
              <w:right w:w="45" w:type="dxa"/>
            </w:tcMar>
            <w:vAlign w:val="center"/>
          </w:tcPr>
          <w:p w14:paraId="6C4DDDF6">
            <w:pPr>
              <w:widowControl/>
              <w:spacing w:line="300" w:lineRule="exact"/>
              <w:rPr>
                <w:rFonts w:hint="default" w:ascii="Times New Roman" w:hAnsi="Times New Roman" w:eastAsia="仿宋_GB2312" w:cs="Times New Roman"/>
                <w:bCs/>
                <w:color w:val="auto"/>
                <w:kern w:val="0"/>
                <w:szCs w:val="21"/>
              </w:rPr>
            </w:pPr>
          </w:p>
        </w:tc>
      </w:tr>
      <w:tr w14:paraId="4B571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7295119">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1.2.2</w:t>
            </w:r>
          </w:p>
        </w:tc>
        <w:tc>
          <w:tcPr>
            <w:tcW w:w="3703" w:type="dxa"/>
            <w:tcMar>
              <w:left w:w="45" w:type="dxa"/>
              <w:right w:w="45" w:type="dxa"/>
            </w:tcMar>
            <w:vAlign w:val="center"/>
          </w:tcPr>
          <w:p w14:paraId="17191609">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院系签订实验室安全责任书</w:t>
            </w:r>
          </w:p>
        </w:tc>
        <w:tc>
          <w:tcPr>
            <w:tcW w:w="7777" w:type="dxa"/>
            <w:tcMar>
              <w:left w:w="45" w:type="dxa"/>
              <w:right w:w="45" w:type="dxa"/>
            </w:tcMar>
            <w:vAlign w:val="center"/>
          </w:tcPr>
          <w:p w14:paraId="386F1B9B">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（7）院系签订责任书到实验房间安全责任人</w:t>
            </w:r>
          </w:p>
        </w:tc>
        <w:tc>
          <w:tcPr>
            <w:tcW w:w="2543" w:type="dxa"/>
            <w:tcMar>
              <w:left w:w="45" w:type="dxa"/>
              <w:right w:w="45" w:type="dxa"/>
            </w:tcMar>
            <w:vAlign w:val="center"/>
          </w:tcPr>
          <w:p w14:paraId="1982D5F7">
            <w:pPr>
              <w:widowControl/>
              <w:spacing w:line="300" w:lineRule="exact"/>
              <w:rPr>
                <w:rFonts w:hint="default" w:ascii="Times New Roman" w:hAnsi="Times New Roman" w:eastAsia="仿宋_GB2312" w:cs="Times New Roman"/>
                <w:bCs/>
                <w:color w:val="auto"/>
                <w:kern w:val="0"/>
                <w:szCs w:val="21"/>
              </w:rPr>
            </w:pPr>
          </w:p>
        </w:tc>
      </w:tr>
      <w:tr w14:paraId="16BFF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63D26F3">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1.3</w:t>
            </w:r>
          </w:p>
        </w:tc>
        <w:tc>
          <w:tcPr>
            <w:tcW w:w="14023" w:type="dxa"/>
            <w:gridSpan w:val="3"/>
            <w:tcMar>
              <w:left w:w="45" w:type="dxa"/>
              <w:right w:w="45" w:type="dxa"/>
            </w:tcMar>
            <w:vAlign w:val="center"/>
          </w:tcPr>
          <w:p w14:paraId="530C37A8">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
                <w:color w:val="auto"/>
                <w:kern w:val="0"/>
                <w:szCs w:val="21"/>
              </w:rPr>
              <w:t>实验室层面安全责任体系</w:t>
            </w:r>
          </w:p>
        </w:tc>
      </w:tr>
      <w:tr w14:paraId="47EB3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DDE27A6">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1.3.1</w:t>
            </w:r>
          </w:p>
        </w:tc>
        <w:tc>
          <w:tcPr>
            <w:tcW w:w="3703" w:type="dxa"/>
            <w:tcMar>
              <w:left w:w="45" w:type="dxa"/>
              <w:right w:w="45" w:type="dxa"/>
            </w:tcMar>
            <w:vAlign w:val="center"/>
          </w:tcPr>
          <w:p w14:paraId="2EA3FBC6">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明确实验室层面各级责任人及其职责</w:t>
            </w:r>
          </w:p>
        </w:tc>
        <w:tc>
          <w:tcPr>
            <w:tcW w:w="7777" w:type="dxa"/>
            <w:tcMar>
              <w:left w:w="45" w:type="dxa"/>
              <w:right w:w="45" w:type="dxa"/>
            </w:tcMar>
            <w:vAlign w:val="center"/>
          </w:tcPr>
          <w:p w14:paraId="63FEA70E">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（8）实验室负责人是本实验室安全工作的直接责任人，应严格落实实验室安全准入、隐患整改、个人防护等日常安全管理工作，切实保障实验室安全；</w:t>
            </w:r>
            <w:r>
              <w:rPr>
                <w:rFonts w:hint="default" w:ascii="Times New Roman" w:hAnsi="Times New Roman" w:eastAsia="仿宋_GB2312" w:cs="Times New Roman"/>
                <w:b/>
                <w:bCs/>
                <w:color w:val="auto"/>
                <w:kern w:val="0"/>
                <w:szCs w:val="21"/>
              </w:rPr>
              <w:t>项目负责人（含教学课程任课教师）是项目安全的第一责任人，须对项目进行危险源辨识和风险评估，并制定防范措施及现场处置方案；实验室负责人应指定安全员，负责本实验室日常安全管理</w:t>
            </w:r>
          </w:p>
        </w:tc>
        <w:tc>
          <w:tcPr>
            <w:tcW w:w="2543" w:type="dxa"/>
            <w:tcMar>
              <w:left w:w="45" w:type="dxa"/>
              <w:right w:w="45" w:type="dxa"/>
            </w:tcMar>
            <w:vAlign w:val="center"/>
          </w:tcPr>
          <w:p w14:paraId="3B5BB2E8">
            <w:pPr>
              <w:widowControl/>
              <w:spacing w:line="300" w:lineRule="exact"/>
              <w:rPr>
                <w:rFonts w:hint="default" w:ascii="Times New Roman" w:hAnsi="Times New Roman" w:eastAsia="仿宋_GB2312" w:cs="Times New Roman"/>
                <w:bCs/>
                <w:color w:val="auto"/>
                <w:kern w:val="0"/>
                <w:szCs w:val="21"/>
              </w:rPr>
            </w:pPr>
          </w:p>
        </w:tc>
      </w:tr>
      <w:tr w14:paraId="6EEC0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6325658">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1.3.2</w:t>
            </w:r>
          </w:p>
        </w:tc>
        <w:tc>
          <w:tcPr>
            <w:tcW w:w="3703" w:type="dxa"/>
            <w:tcMar>
              <w:left w:w="45" w:type="dxa"/>
              <w:right w:w="45" w:type="dxa"/>
            </w:tcMar>
            <w:vAlign w:val="center"/>
          </w:tcPr>
          <w:p w14:paraId="74273200">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实验室层面签订实验室安全责任书</w:t>
            </w:r>
          </w:p>
        </w:tc>
        <w:tc>
          <w:tcPr>
            <w:tcW w:w="7777" w:type="dxa"/>
            <w:tcMar>
              <w:left w:w="45" w:type="dxa"/>
              <w:right w:w="45" w:type="dxa"/>
            </w:tcMar>
            <w:vAlign w:val="center"/>
          </w:tcPr>
          <w:p w14:paraId="1EB62782">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（9）实验室负责人与相关实验人员签订实验室安全责任书</w:t>
            </w:r>
          </w:p>
        </w:tc>
        <w:tc>
          <w:tcPr>
            <w:tcW w:w="2543" w:type="dxa"/>
            <w:tcMar>
              <w:left w:w="45" w:type="dxa"/>
              <w:right w:w="45" w:type="dxa"/>
            </w:tcMar>
            <w:vAlign w:val="center"/>
          </w:tcPr>
          <w:p w14:paraId="4D16634B">
            <w:pPr>
              <w:widowControl/>
              <w:spacing w:line="300" w:lineRule="exact"/>
              <w:rPr>
                <w:rFonts w:hint="default" w:ascii="Times New Roman" w:hAnsi="Times New Roman" w:eastAsia="仿宋_GB2312" w:cs="Times New Roman"/>
                <w:bCs/>
                <w:color w:val="auto"/>
                <w:kern w:val="0"/>
                <w:szCs w:val="21"/>
              </w:rPr>
            </w:pPr>
          </w:p>
        </w:tc>
      </w:tr>
      <w:tr w14:paraId="4E998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11BD134">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1.4</w:t>
            </w:r>
          </w:p>
        </w:tc>
        <w:tc>
          <w:tcPr>
            <w:tcW w:w="14023" w:type="dxa"/>
            <w:gridSpan w:val="3"/>
            <w:tcMar>
              <w:left w:w="45" w:type="dxa"/>
              <w:right w:w="45" w:type="dxa"/>
            </w:tcMar>
            <w:vAlign w:val="center"/>
          </w:tcPr>
          <w:p w14:paraId="5335B625">
            <w:pPr>
              <w:widowControl/>
              <w:spacing w:line="300" w:lineRule="exact"/>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color w:val="auto"/>
                <w:kern w:val="0"/>
                <w:szCs w:val="21"/>
              </w:rPr>
              <w:t>安全工作奖惩机制</w:t>
            </w:r>
          </w:p>
        </w:tc>
      </w:tr>
      <w:tr w14:paraId="6CAEA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2AFEE6E">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1.4.1</w:t>
            </w:r>
          </w:p>
        </w:tc>
        <w:tc>
          <w:tcPr>
            <w:tcW w:w="3703" w:type="dxa"/>
            <w:tcMar>
              <w:left w:w="45" w:type="dxa"/>
              <w:right w:w="45" w:type="dxa"/>
            </w:tcMar>
            <w:vAlign w:val="center"/>
          </w:tcPr>
          <w:p w14:paraId="625AD8B0">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奖惩机制落实到岗位或个人</w:t>
            </w:r>
          </w:p>
        </w:tc>
        <w:tc>
          <w:tcPr>
            <w:tcW w:w="7777" w:type="dxa"/>
            <w:tcMar>
              <w:left w:w="45" w:type="dxa"/>
              <w:right w:w="45" w:type="dxa"/>
            </w:tcMar>
            <w:vAlign w:val="center"/>
          </w:tcPr>
          <w:p w14:paraId="5237B2F9">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（10）有明确的奖惩管理办法，以及实际执行情况</w:t>
            </w:r>
          </w:p>
        </w:tc>
        <w:tc>
          <w:tcPr>
            <w:tcW w:w="2543" w:type="dxa"/>
            <w:tcMar>
              <w:left w:w="45" w:type="dxa"/>
              <w:right w:w="45" w:type="dxa"/>
            </w:tcMar>
            <w:vAlign w:val="center"/>
          </w:tcPr>
          <w:p w14:paraId="3DD9EEE5">
            <w:pPr>
              <w:widowControl/>
              <w:spacing w:line="300" w:lineRule="exact"/>
              <w:rPr>
                <w:rFonts w:hint="default" w:ascii="Times New Roman" w:hAnsi="Times New Roman" w:eastAsia="仿宋_GB2312" w:cs="Times New Roman"/>
                <w:bCs/>
                <w:color w:val="auto"/>
                <w:kern w:val="0"/>
                <w:szCs w:val="21"/>
              </w:rPr>
            </w:pPr>
          </w:p>
        </w:tc>
      </w:tr>
      <w:tr w14:paraId="3BD8F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3F12FBC">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1.4.2</w:t>
            </w:r>
          </w:p>
        </w:tc>
        <w:tc>
          <w:tcPr>
            <w:tcW w:w="3703" w:type="dxa"/>
            <w:tcMar>
              <w:left w:w="45" w:type="dxa"/>
              <w:right w:w="45" w:type="dxa"/>
            </w:tcMar>
            <w:vAlign w:val="center"/>
          </w:tcPr>
          <w:p w14:paraId="56C0F911">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依法依规进行事故调查和责任追究</w:t>
            </w:r>
          </w:p>
        </w:tc>
        <w:tc>
          <w:tcPr>
            <w:tcW w:w="7777" w:type="dxa"/>
            <w:tcMar>
              <w:left w:w="45" w:type="dxa"/>
              <w:right w:w="45" w:type="dxa"/>
            </w:tcMar>
            <w:vAlign w:val="center"/>
          </w:tcPr>
          <w:p w14:paraId="441FDCBD">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（11）检查事故处理执行情况</w:t>
            </w:r>
          </w:p>
        </w:tc>
        <w:tc>
          <w:tcPr>
            <w:tcW w:w="2543" w:type="dxa"/>
            <w:tcMar>
              <w:left w:w="45" w:type="dxa"/>
              <w:right w:w="45" w:type="dxa"/>
            </w:tcMar>
            <w:vAlign w:val="center"/>
          </w:tcPr>
          <w:p w14:paraId="15641727">
            <w:pPr>
              <w:widowControl/>
              <w:spacing w:line="300" w:lineRule="exact"/>
              <w:rPr>
                <w:rFonts w:hint="default" w:ascii="Times New Roman" w:hAnsi="Times New Roman" w:eastAsia="仿宋_GB2312" w:cs="Times New Roman"/>
                <w:bCs/>
                <w:color w:val="auto"/>
                <w:kern w:val="0"/>
                <w:szCs w:val="21"/>
              </w:rPr>
            </w:pPr>
          </w:p>
        </w:tc>
      </w:tr>
      <w:tr w14:paraId="3598A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E0ED758">
            <w:pPr>
              <w:widowControl/>
              <w:spacing w:line="300" w:lineRule="exact"/>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1.5</w:t>
            </w:r>
          </w:p>
        </w:tc>
        <w:tc>
          <w:tcPr>
            <w:tcW w:w="14023" w:type="dxa"/>
            <w:gridSpan w:val="3"/>
            <w:tcMar>
              <w:left w:w="45" w:type="dxa"/>
              <w:right w:w="45" w:type="dxa"/>
            </w:tcMar>
            <w:vAlign w:val="center"/>
          </w:tcPr>
          <w:p w14:paraId="6A681273">
            <w:pPr>
              <w:widowControl/>
              <w:spacing w:line="300" w:lineRule="exact"/>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经费保障</w:t>
            </w:r>
          </w:p>
        </w:tc>
      </w:tr>
      <w:tr w14:paraId="7695E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CD3EF30">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1.5.1</w:t>
            </w:r>
          </w:p>
        </w:tc>
        <w:tc>
          <w:tcPr>
            <w:tcW w:w="3703" w:type="dxa"/>
            <w:tcMar>
              <w:left w:w="45" w:type="dxa"/>
              <w:right w:w="45" w:type="dxa"/>
            </w:tcMar>
            <w:vAlign w:val="center"/>
          </w:tcPr>
          <w:p w14:paraId="298BE9F8">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学校每年有实验室安全常规经费预算</w:t>
            </w:r>
          </w:p>
        </w:tc>
        <w:tc>
          <w:tcPr>
            <w:tcW w:w="7777" w:type="dxa"/>
            <w:tcMar>
              <w:left w:w="45" w:type="dxa"/>
              <w:right w:w="45" w:type="dxa"/>
            </w:tcMar>
            <w:vAlign w:val="center"/>
          </w:tcPr>
          <w:p w14:paraId="779B8749">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（12）学校职能部门有预算审批凭据证明有专款用于实验室安全工作</w:t>
            </w:r>
          </w:p>
        </w:tc>
        <w:tc>
          <w:tcPr>
            <w:tcW w:w="2543" w:type="dxa"/>
            <w:tcMar>
              <w:left w:w="45" w:type="dxa"/>
              <w:right w:w="45" w:type="dxa"/>
            </w:tcMar>
            <w:vAlign w:val="center"/>
          </w:tcPr>
          <w:p w14:paraId="24A20491">
            <w:pPr>
              <w:widowControl/>
              <w:spacing w:line="300" w:lineRule="exact"/>
              <w:rPr>
                <w:rFonts w:hint="default" w:ascii="Times New Roman" w:hAnsi="Times New Roman" w:eastAsia="仿宋_GB2312" w:cs="Times New Roman"/>
                <w:bCs/>
                <w:color w:val="auto"/>
                <w:kern w:val="0"/>
                <w:szCs w:val="21"/>
              </w:rPr>
            </w:pPr>
          </w:p>
        </w:tc>
      </w:tr>
      <w:tr w14:paraId="01852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0597518">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1.5.2</w:t>
            </w:r>
          </w:p>
        </w:tc>
        <w:tc>
          <w:tcPr>
            <w:tcW w:w="3703" w:type="dxa"/>
            <w:tcMar>
              <w:left w:w="45" w:type="dxa"/>
              <w:right w:w="45" w:type="dxa"/>
            </w:tcMar>
            <w:vAlign w:val="center"/>
          </w:tcPr>
          <w:p w14:paraId="32EE1008">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学校有专项经费投入实验室安全工作，重大安全隐患整改经费能够落实</w:t>
            </w:r>
          </w:p>
        </w:tc>
        <w:tc>
          <w:tcPr>
            <w:tcW w:w="7777" w:type="dxa"/>
            <w:tcMar>
              <w:left w:w="45" w:type="dxa"/>
              <w:right w:w="45" w:type="dxa"/>
            </w:tcMar>
            <w:vAlign w:val="center"/>
          </w:tcPr>
          <w:p w14:paraId="71E9D58D">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（13）</w:t>
            </w:r>
            <w:r>
              <w:rPr>
                <w:rFonts w:hint="default" w:ascii="Times New Roman" w:hAnsi="Times New Roman" w:eastAsia="仿宋_GB2312" w:cs="Times New Roman"/>
                <w:b/>
                <w:bCs w:val="0"/>
                <w:color w:val="auto"/>
                <w:kern w:val="0"/>
                <w:szCs w:val="21"/>
              </w:rPr>
              <w:t>学校职能部门有支出凭据证明有专款用于实验室安全工作，尤其是用于重大安全隐患整改项目</w:t>
            </w:r>
          </w:p>
        </w:tc>
        <w:tc>
          <w:tcPr>
            <w:tcW w:w="2543" w:type="dxa"/>
            <w:tcMar>
              <w:left w:w="45" w:type="dxa"/>
              <w:right w:w="45" w:type="dxa"/>
            </w:tcMar>
            <w:vAlign w:val="center"/>
          </w:tcPr>
          <w:p w14:paraId="32B2697A">
            <w:pPr>
              <w:widowControl/>
              <w:spacing w:line="300" w:lineRule="exact"/>
              <w:rPr>
                <w:rFonts w:hint="default" w:ascii="Times New Roman" w:hAnsi="Times New Roman" w:eastAsia="仿宋_GB2312" w:cs="Times New Roman"/>
                <w:bCs/>
                <w:color w:val="auto"/>
                <w:kern w:val="0"/>
                <w:szCs w:val="21"/>
              </w:rPr>
            </w:pPr>
          </w:p>
        </w:tc>
      </w:tr>
      <w:tr w14:paraId="034EE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D086F9B">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1.5.3</w:t>
            </w:r>
          </w:p>
        </w:tc>
        <w:tc>
          <w:tcPr>
            <w:tcW w:w="3703" w:type="dxa"/>
            <w:tcMar>
              <w:left w:w="45" w:type="dxa"/>
              <w:right w:w="45" w:type="dxa"/>
            </w:tcMar>
            <w:vAlign w:val="center"/>
          </w:tcPr>
          <w:p w14:paraId="77AE6FFD">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院系有自筹经费投入实验室安全建设与管理</w:t>
            </w:r>
          </w:p>
        </w:tc>
        <w:tc>
          <w:tcPr>
            <w:tcW w:w="7777" w:type="dxa"/>
            <w:tcMar>
              <w:left w:w="45" w:type="dxa"/>
              <w:right w:w="45" w:type="dxa"/>
            </w:tcMar>
            <w:vAlign w:val="center"/>
          </w:tcPr>
          <w:p w14:paraId="7A0B2AD4">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bCs/>
                <w:color w:val="auto"/>
                <w:kern w:val="0"/>
                <w:szCs w:val="21"/>
              </w:rPr>
              <w:t>（14）院系有支出凭据证明有专款用于实验室安全工作</w:t>
            </w:r>
          </w:p>
        </w:tc>
        <w:tc>
          <w:tcPr>
            <w:tcW w:w="2543" w:type="dxa"/>
            <w:tcMar>
              <w:left w:w="45" w:type="dxa"/>
              <w:right w:w="45" w:type="dxa"/>
            </w:tcMar>
            <w:vAlign w:val="center"/>
          </w:tcPr>
          <w:p w14:paraId="1976F2D7">
            <w:pPr>
              <w:widowControl/>
              <w:spacing w:line="300" w:lineRule="exact"/>
              <w:rPr>
                <w:rFonts w:hint="default" w:ascii="Times New Roman" w:hAnsi="Times New Roman" w:eastAsia="仿宋_GB2312" w:cs="Times New Roman"/>
                <w:color w:val="auto"/>
                <w:kern w:val="0"/>
                <w:szCs w:val="21"/>
              </w:rPr>
            </w:pPr>
          </w:p>
        </w:tc>
      </w:tr>
      <w:tr w14:paraId="09D04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497ED75">
            <w:pPr>
              <w:widowControl/>
              <w:spacing w:line="300" w:lineRule="exact"/>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1.6</w:t>
            </w:r>
          </w:p>
        </w:tc>
        <w:tc>
          <w:tcPr>
            <w:tcW w:w="14023" w:type="dxa"/>
            <w:gridSpan w:val="3"/>
            <w:tcMar>
              <w:left w:w="45" w:type="dxa"/>
              <w:right w:w="45" w:type="dxa"/>
            </w:tcMar>
            <w:vAlign w:val="center"/>
          </w:tcPr>
          <w:p w14:paraId="537D526F">
            <w:pPr>
              <w:widowControl/>
              <w:spacing w:line="300" w:lineRule="exact"/>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队伍建设</w:t>
            </w:r>
          </w:p>
        </w:tc>
      </w:tr>
      <w:tr w14:paraId="68390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756A0F4">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1.6.1</w:t>
            </w:r>
          </w:p>
        </w:tc>
        <w:tc>
          <w:tcPr>
            <w:tcW w:w="3703" w:type="dxa"/>
            <w:tcMar>
              <w:left w:w="45" w:type="dxa"/>
              <w:right w:w="45" w:type="dxa"/>
            </w:tcMar>
            <w:vAlign w:val="center"/>
          </w:tcPr>
          <w:p w14:paraId="716970DA">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学校根据需要配备专职或兼职的实验室安全管理人员</w:t>
            </w:r>
          </w:p>
        </w:tc>
        <w:tc>
          <w:tcPr>
            <w:tcW w:w="7777" w:type="dxa"/>
            <w:tcMar>
              <w:left w:w="45" w:type="dxa"/>
              <w:right w:w="45" w:type="dxa"/>
            </w:tcMar>
            <w:vAlign w:val="center"/>
          </w:tcPr>
          <w:p w14:paraId="751B4E95">
            <w:pPr>
              <w:spacing w:line="300" w:lineRule="exact"/>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kern w:val="0"/>
                <w:szCs w:val="21"/>
              </w:rPr>
              <w:t>（15）有重要危险源，即</w:t>
            </w:r>
            <w:r>
              <w:rPr>
                <w:rFonts w:hint="default" w:ascii="Times New Roman" w:hAnsi="Times New Roman" w:eastAsia="仿宋_GB2312" w:cs="Times New Roman"/>
                <w:color w:val="auto"/>
                <w:szCs w:val="21"/>
              </w:rPr>
              <w:t>有毒有害（剧毒、易制爆、易制毒、爆炸品等）化学品、危险（易燃、易爆、有毒、窒息、高压等）气体、动物及病原微生物、辐射源及射线装置、同位素及核材料、危险性机械加工装置、强电强磁与激光设备、特种设备等</w:t>
            </w:r>
            <w:r>
              <w:rPr>
                <w:rFonts w:hint="default" w:ascii="Times New Roman" w:hAnsi="Times New Roman" w:eastAsia="仿宋_GB2312" w:cs="Times New Roman"/>
                <w:color w:val="auto"/>
                <w:kern w:val="0"/>
                <w:szCs w:val="21"/>
              </w:rPr>
              <w:t>的高校应依据工作量，</w:t>
            </w:r>
            <w:r>
              <w:rPr>
                <w:rFonts w:hint="default" w:ascii="Times New Roman" w:hAnsi="Times New Roman" w:eastAsia="仿宋_GB2312" w:cs="Times New Roman"/>
                <w:b/>
                <w:bCs/>
                <w:color w:val="auto"/>
                <w:kern w:val="0"/>
                <w:szCs w:val="21"/>
              </w:rPr>
              <w:t>在校级管理机构配备足够的专职实验室安全管理人员。</w:t>
            </w:r>
          </w:p>
          <w:p w14:paraId="33A29FD8">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（16）</w:t>
            </w:r>
            <w:r>
              <w:rPr>
                <w:rFonts w:hint="default" w:ascii="Times New Roman" w:hAnsi="Times New Roman" w:eastAsia="仿宋_GB2312" w:cs="Times New Roman"/>
                <w:b/>
                <w:bCs/>
                <w:color w:val="auto"/>
                <w:kern w:val="0"/>
                <w:szCs w:val="21"/>
              </w:rPr>
              <w:t>有重要危险源的院系应依据工作量配备专职实验室安全管理人员</w:t>
            </w:r>
            <w:r>
              <w:rPr>
                <w:rFonts w:hint="default" w:ascii="Times New Roman" w:hAnsi="Times New Roman" w:eastAsia="仿宋_GB2312" w:cs="Times New Roman"/>
                <w:color w:val="auto"/>
                <w:kern w:val="0"/>
                <w:szCs w:val="21"/>
              </w:rPr>
              <w:t>；文、管、艺术类、数学及信息等相关院系配备兼职实验室安全管理人员</w:t>
            </w:r>
          </w:p>
        </w:tc>
        <w:tc>
          <w:tcPr>
            <w:tcW w:w="2543" w:type="dxa"/>
            <w:tcMar>
              <w:left w:w="45" w:type="dxa"/>
              <w:right w:w="45" w:type="dxa"/>
            </w:tcMar>
            <w:vAlign w:val="center"/>
          </w:tcPr>
          <w:p w14:paraId="00DAE2BC">
            <w:pPr>
              <w:widowControl/>
              <w:spacing w:line="300" w:lineRule="exact"/>
              <w:rPr>
                <w:rFonts w:hint="default" w:ascii="Times New Roman" w:hAnsi="Times New Roman" w:eastAsia="仿宋_GB2312" w:cs="Times New Roman"/>
                <w:color w:val="auto"/>
                <w:kern w:val="0"/>
                <w:szCs w:val="21"/>
              </w:rPr>
            </w:pPr>
          </w:p>
        </w:tc>
      </w:tr>
      <w:tr w14:paraId="65BCE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E0684C3">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1.6.2</w:t>
            </w:r>
          </w:p>
        </w:tc>
        <w:tc>
          <w:tcPr>
            <w:tcW w:w="3703" w:type="dxa"/>
            <w:tcMar>
              <w:left w:w="45" w:type="dxa"/>
              <w:right w:w="45" w:type="dxa"/>
            </w:tcMar>
            <w:vAlign w:val="center"/>
          </w:tcPr>
          <w:p w14:paraId="0B20251A">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有校级实验室安全检查队伍，可以由教师、实验技术人员组成，也可以利用有相关专业能力的社会力量</w:t>
            </w:r>
          </w:p>
        </w:tc>
        <w:tc>
          <w:tcPr>
            <w:tcW w:w="7777" w:type="dxa"/>
            <w:tcMar>
              <w:left w:w="45" w:type="dxa"/>
              <w:right w:w="45" w:type="dxa"/>
            </w:tcMar>
            <w:vAlign w:val="center"/>
          </w:tcPr>
          <w:p w14:paraId="6B3C1E73">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（17）有文件证明学校设立了</w:t>
            </w:r>
            <w:r>
              <w:rPr>
                <w:rFonts w:hint="default" w:ascii="Times New Roman" w:hAnsi="Times New Roman" w:eastAsia="仿宋_GB2312" w:cs="Times New Roman"/>
                <w:color w:val="auto"/>
                <w:kern w:val="0"/>
                <w:szCs w:val="21"/>
              </w:rPr>
              <w:t>检查队伍，并有</w:t>
            </w:r>
            <w:r>
              <w:rPr>
                <w:rFonts w:hint="default" w:ascii="Times New Roman" w:hAnsi="Times New Roman" w:eastAsia="仿宋_GB2312" w:cs="Times New Roman"/>
                <w:bCs/>
                <w:color w:val="auto"/>
                <w:kern w:val="0"/>
                <w:szCs w:val="21"/>
              </w:rPr>
              <w:t>工作记录</w:t>
            </w:r>
          </w:p>
        </w:tc>
        <w:tc>
          <w:tcPr>
            <w:tcW w:w="2543" w:type="dxa"/>
            <w:tcMar>
              <w:left w:w="45" w:type="dxa"/>
              <w:right w:w="45" w:type="dxa"/>
            </w:tcMar>
            <w:vAlign w:val="center"/>
          </w:tcPr>
          <w:p w14:paraId="7C6910F8">
            <w:pPr>
              <w:widowControl/>
              <w:spacing w:line="300" w:lineRule="exact"/>
              <w:rPr>
                <w:rFonts w:hint="default" w:ascii="Times New Roman" w:hAnsi="Times New Roman" w:eastAsia="仿宋_GB2312" w:cs="Times New Roman"/>
                <w:color w:val="auto"/>
                <w:kern w:val="0"/>
                <w:szCs w:val="21"/>
              </w:rPr>
            </w:pPr>
          </w:p>
        </w:tc>
      </w:tr>
      <w:tr w14:paraId="4C54B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B4BA4D8">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1.6.3</w:t>
            </w:r>
          </w:p>
        </w:tc>
        <w:tc>
          <w:tcPr>
            <w:tcW w:w="3703" w:type="dxa"/>
            <w:tcMar>
              <w:left w:w="45" w:type="dxa"/>
              <w:right w:w="45" w:type="dxa"/>
            </w:tcMar>
            <w:vAlign w:val="center"/>
          </w:tcPr>
          <w:p w14:paraId="3FFFBF58">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各级主管实验室安全的负责人、管理人员及技术人员到岗一年内须接受实验室安全培训</w:t>
            </w:r>
          </w:p>
        </w:tc>
        <w:tc>
          <w:tcPr>
            <w:tcW w:w="7777" w:type="dxa"/>
            <w:tcMar>
              <w:left w:w="45" w:type="dxa"/>
              <w:right w:w="45" w:type="dxa"/>
            </w:tcMar>
            <w:vAlign w:val="center"/>
          </w:tcPr>
          <w:p w14:paraId="515C7ABE">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（18）有培训记录（证书、电子文档、书面记录）等证明培训及合格情况</w:t>
            </w:r>
          </w:p>
        </w:tc>
        <w:tc>
          <w:tcPr>
            <w:tcW w:w="2543" w:type="dxa"/>
            <w:tcMar>
              <w:left w:w="45" w:type="dxa"/>
              <w:right w:w="45" w:type="dxa"/>
            </w:tcMar>
            <w:vAlign w:val="center"/>
          </w:tcPr>
          <w:p w14:paraId="63DDBAD1">
            <w:pPr>
              <w:widowControl/>
              <w:spacing w:line="300" w:lineRule="exact"/>
              <w:rPr>
                <w:rFonts w:hint="default" w:ascii="Times New Roman" w:hAnsi="Times New Roman" w:eastAsia="仿宋_GB2312" w:cs="Times New Roman"/>
                <w:color w:val="auto"/>
                <w:kern w:val="0"/>
                <w:szCs w:val="21"/>
              </w:rPr>
            </w:pPr>
          </w:p>
        </w:tc>
      </w:tr>
      <w:tr w14:paraId="2DD35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A0C595B">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1.7</w:t>
            </w:r>
          </w:p>
        </w:tc>
        <w:tc>
          <w:tcPr>
            <w:tcW w:w="14023" w:type="dxa"/>
            <w:gridSpan w:val="3"/>
            <w:tcMar>
              <w:left w:w="45" w:type="dxa"/>
              <w:right w:w="45" w:type="dxa"/>
            </w:tcMar>
            <w:vAlign w:val="center"/>
          </w:tcPr>
          <w:p w14:paraId="76CCE753">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其他</w:t>
            </w:r>
          </w:p>
        </w:tc>
      </w:tr>
      <w:tr w14:paraId="060B1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EE07531">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1.7.1</w:t>
            </w:r>
          </w:p>
        </w:tc>
        <w:tc>
          <w:tcPr>
            <w:tcW w:w="3703" w:type="dxa"/>
            <w:tcMar>
              <w:left w:w="45" w:type="dxa"/>
              <w:right w:w="45" w:type="dxa"/>
            </w:tcMar>
            <w:vAlign w:val="center"/>
          </w:tcPr>
          <w:p w14:paraId="23FC9F16">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采用信息化手段管理实验室安全</w:t>
            </w:r>
          </w:p>
        </w:tc>
        <w:tc>
          <w:tcPr>
            <w:tcW w:w="7777" w:type="dxa"/>
            <w:tcMar>
              <w:left w:w="45" w:type="dxa"/>
              <w:right w:w="45" w:type="dxa"/>
            </w:tcMar>
            <w:vAlign w:val="center"/>
          </w:tcPr>
          <w:p w14:paraId="2D6FD101">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（19）学校建设信息管理等系统用于实验室安全管理</w:t>
            </w:r>
          </w:p>
        </w:tc>
        <w:tc>
          <w:tcPr>
            <w:tcW w:w="2543" w:type="dxa"/>
            <w:tcMar>
              <w:left w:w="45" w:type="dxa"/>
              <w:right w:w="45" w:type="dxa"/>
            </w:tcMar>
            <w:vAlign w:val="center"/>
          </w:tcPr>
          <w:p w14:paraId="35B1EE2D">
            <w:pPr>
              <w:widowControl/>
              <w:spacing w:line="300" w:lineRule="exact"/>
              <w:rPr>
                <w:rFonts w:hint="default" w:ascii="Times New Roman" w:hAnsi="Times New Roman" w:eastAsia="仿宋_GB2312" w:cs="Times New Roman"/>
                <w:color w:val="auto"/>
                <w:kern w:val="0"/>
                <w:szCs w:val="21"/>
              </w:rPr>
            </w:pPr>
          </w:p>
        </w:tc>
      </w:tr>
      <w:tr w14:paraId="5545A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2068F47">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1.7.2</w:t>
            </w:r>
          </w:p>
        </w:tc>
        <w:tc>
          <w:tcPr>
            <w:tcW w:w="3703" w:type="dxa"/>
            <w:tcMar>
              <w:left w:w="45" w:type="dxa"/>
              <w:right w:w="45" w:type="dxa"/>
            </w:tcMar>
            <w:vAlign w:val="center"/>
          </w:tcPr>
          <w:p w14:paraId="00B39042">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建立实验室安全工作档案</w:t>
            </w:r>
          </w:p>
        </w:tc>
        <w:tc>
          <w:tcPr>
            <w:tcW w:w="7777" w:type="dxa"/>
            <w:tcMar>
              <w:left w:w="45" w:type="dxa"/>
              <w:right w:w="45" w:type="dxa"/>
            </w:tcMar>
            <w:vAlign w:val="center"/>
          </w:tcPr>
          <w:p w14:paraId="03B1D207">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（20）包括责任体系、队伍建设、安全制度、奖惩、教育培训、安全检查、隐患整改、事故调查与处理、专业安全、其他相关的常规或阶段性工作等，且档案分类科学合理，便于查找</w:t>
            </w:r>
          </w:p>
        </w:tc>
        <w:tc>
          <w:tcPr>
            <w:tcW w:w="2543" w:type="dxa"/>
            <w:tcMar>
              <w:left w:w="45" w:type="dxa"/>
              <w:right w:w="45" w:type="dxa"/>
            </w:tcMar>
            <w:vAlign w:val="center"/>
          </w:tcPr>
          <w:p w14:paraId="57D303CD">
            <w:pPr>
              <w:widowControl/>
              <w:spacing w:line="300" w:lineRule="exact"/>
              <w:rPr>
                <w:rFonts w:hint="default" w:ascii="Times New Roman" w:hAnsi="Times New Roman" w:eastAsia="仿宋_GB2312" w:cs="Times New Roman"/>
                <w:color w:val="auto"/>
                <w:kern w:val="0"/>
                <w:szCs w:val="21"/>
              </w:rPr>
            </w:pPr>
          </w:p>
        </w:tc>
      </w:tr>
      <w:tr w14:paraId="4624F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C8CD50D">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2</w:t>
            </w:r>
          </w:p>
        </w:tc>
        <w:tc>
          <w:tcPr>
            <w:tcW w:w="14023" w:type="dxa"/>
            <w:gridSpan w:val="3"/>
            <w:tcMar>
              <w:left w:w="45" w:type="dxa"/>
              <w:right w:w="45" w:type="dxa"/>
            </w:tcMar>
            <w:vAlign w:val="center"/>
          </w:tcPr>
          <w:p w14:paraId="71D6526C">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规章制度</w:t>
            </w:r>
          </w:p>
        </w:tc>
      </w:tr>
      <w:tr w14:paraId="65351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4680517">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2.1</w:t>
            </w:r>
          </w:p>
        </w:tc>
        <w:tc>
          <w:tcPr>
            <w:tcW w:w="14023" w:type="dxa"/>
            <w:gridSpan w:val="3"/>
            <w:tcMar>
              <w:left w:w="45" w:type="dxa"/>
              <w:right w:w="45" w:type="dxa"/>
            </w:tcMar>
            <w:vAlign w:val="center"/>
          </w:tcPr>
          <w:p w14:paraId="75980CEF">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实验室安全管理制度</w:t>
            </w:r>
          </w:p>
        </w:tc>
      </w:tr>
      <w:tr w14:paraId="746A7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06FA0EF">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2.1.1</w:t>
            </w:r>
          </w:p>
        </w:tc>
        <w:tc>
          <w:tcPr>
            <w:tcW w:w="3703" w:type="dxa"/>
            <w:tcMar>
              <w:left w:w="45" w:type="dxa"/>
              <w:right w:w="45" w:type="dxa"/>
            </w:tcMar>
            <w:vAlign w:val="center"/>
          </w:tcPr>
          <w:p w14:paraId="157DC173">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学校和院系应有正式发文的实验室安全管理制度</w:t>
            </w:r>
          </w:p>
        </w:tc>
        <w:tc>
          <w:tcPr>
            <w:tcW w:w="7777" w:type="dxa"/>
            <w:tcMar>
              <w:left w:w="45" w:type="dxa"/>
              <w:right w:w="45" w:type="dxa"/>
            </w:tcMar>
            <w:vAlign w:val="center"/>
          </w:tcPr>
          <w:p w14:paraId="14731D57">
            <w:pPr>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（21）有正式发文的实验室安全管理制度，内容包括上位法依据、实验室范围、安全管理原则、组织架构、责任体系、奖惩、事故处理、安全文化等要素</w:t>
            </w:r>
          </w:p>
        </w:tc>
        <w:tc>
          <w:tcPr>
            <w:tcW w:w="2543" w:type="dxa"/>
            <w:tcMar>
              <w:left w:w="45" w:type="dxa"/>
              <w:right w:w="45" w:type="dxa"/>
            </w:tcMar>
            <w:vAlign w:val="center"/>
          </w:tcPr>
          <w:p w14:paraId="1F394DCD">
            <w:pPr>
              <w:widowControl/>
              <w:spacing w:line="300" w:lineRule="exact"/>
              <w:rPr>
                <w:rFonts w:hint="default" w:ascii="Times New Roman" w:hAnsi="Times New Roman" w:eastAsia="仿宋_GB2312" w:cs="Times New Roman"/>
                <w:bCs/>
                <w:color w:val="auto"/>
                <w:kern w:val="0"/>
                <w:szCs w:val="21"/>
              </w:rPr>
            </w:pPr>
          </w:p>
        </w:tc>
      </w:tr>
      <w:tr w14:paraId="191F9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389AF1A">
            <w:pPr>
              <w:widowControl/>
              <w:spacing w:line="300" w:lineRule="exact"/>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2.2</w:t>
            </w:r>
          </w:p>
        </w:tc>
        <w:tc>
          <w:tcPr>
            <w:tcW w:w="14023" w:type="dxa"/>
            <w:gridSpan w:val="3"/>
            <w:tcMar>
              <w:left w:w="45" w:type="dxa"/>
              <w:right w:w="45" w:type="dxa"/>
            </w:tcMar>
            <w:vAlign w:val="center"/>
          </w:tcPr>
          <w:p w14:paraId="440F46E5">
            <w:pPr>
              <w:widowControl/>
              <w:spacing w:line="300" w:lineRule="exact"/>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实验室安全管理办法或细则</w:t>
            </w:r>
          </w:p>
        </w:tc>
      </w:tr>
      <w:tr w14:paraId="1BCB2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D442DCF">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2.2.1</w:t>
            </w:r>
          </w:p>
        </w:tc>
        <w:tc>
          <w:tcPr>
            <w:tcW w:w="3703" w:type="dxa"/>
            <w:tcMar>
              <w:left w:w="45" w:type="dxa"/>
              <w:right w:w="45" w:type="dxa"/>
            </w:tcMar>
            <w:vAlign w:val="center"/>
          </w:tcPr>
          <w:p w14:paraId="6B9E4034">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有正式发文的实验室安全管理办法或细则</w:t>
            </w:r>
          </w:p>
        </w:tc>
        <w:tc>
          <w:tcPr>
            <w:tcW w:w="7777" w:type="dxa"/>
            <w:tcMar>
              <w:left w:w="45" w:type="dxa"/>
              <w:right w:w="45" w:type="dxa"/>
            </w:tcMar>
            <w:vAlign w:val="center"/>
          </w:tcPr>
          <w:p w14:paraId="3111FB36">
            <w:pPr>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（22）依据危险源情况制定实验室分级分类、准入管理、安全检查，以及各类安全等二级管理办法，文件应具有可操作性或实际管理效用，及时修订更新，并正式发文</w:t>
            </w:r>
          </w:p>
        </w:tc>
        <w:tc>
          <w:tcPr>
            <w:tcW w:w="2543" w:type="dxa"/>
            <w:tcMar>
              <w:left w:w="45" w:type="dxa"/>
              <w:right w:w="45" w:type="dxa"/>
            </w:tcMar>
            <w:vAlign w:val="center"/>
          </w:tcPr>
          <w:p w14:paraId="19DF04E3">
            <w:pPr>
              <w:widowControl/>
              <w:spacing w:line="300" w:lineRule="exact"/>
              <w:rPr>
                <w:rFonts w:hint="default" w:ascii="Times New Roman" w:hAnsi="Times New Roman" w:eastAsia="仿宋_GB2312" w:cs="Times New Roman"/>
                <w:bCs/>
                <w:color w:val="auto"/>
                <w:kern w:val="0"/>
                <w:szCs w:val="21"/>
              </w:rPr>
            </w:pPr>
          </w:p>
        </w:tc>
      </w:tr>
      <w:tr w14:paraId="3F774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C0E31F9">
            <w:pPr>
              <w:widowControl/>
              <w:spacing w:line="300" w:lineRule="exact"/>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2.3</w:t>
            </w:r>
          </w:p>
        </w:tc>
        <w:tc>
          <w:tcPr>
            <w:tcW w:w="14023" w:type="dxa"/>
            <w:gridSpan w:val="3"/>
            <w:tcMar>
              <w:left w:w="45" w:type="dxa"/>
              <w:right w:w="45" w:type="dxa"/>
            </w:tcMar>
            <w:vAlign w:val="center"/>
          </w:tcPr>
          <w:p w14:paraId="279FFB45">
            <w:pPr>
              <w:widowControl/>
              <w:spacing w:line="300" w:lineRule="exact"/>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安全应急制度</w:t>
            </w:r>
          </w:p>
        </w:tc>
      </w:tr>
      <w:tr w14:paraId="0927B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E48BFC0">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2.3.1</w:t>
            </w:r>
          </w:p>
        </w:tc>
        <w:tc>
          <w:tcPr>
            <w:tcW w:w="3703" w:type="dxa"/>
            <w:tcMar>
              <w:left w:w="45" w:type="dxa"/>
              <w:right w:w="45" w:type="dxa"/>
            </w:tcMar>
            <w:vAlign w:val="center"/>
          </w:tcPr>
          <w:p w14:paraId="27F10AD5">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学校、院系、实验室有相应的应急预案</w:t>
            </w:r>
          </w:p>
        </w:tc>
        <w:tc>
          <w:tcPr>
            <w:tcW w:w="7777" w:type="dxa"/>
            <w:tcMar>
              <w:left w:w="45" w:type="dxa"/>
              <w:right w:w="45" w:type="dxa"/>
            </w:tcMar>
            <w:vAlign w:val="center"/>
          </w:tcPr>
          <w:p w14:paraId="65395E4D">
            <w:pPr>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23）学校、二级单位和实验室应建立应急预案和应急演练制度，定期开展应急知识学习、应急处置培训和应急演练，保障应急人员、物资、装备和经费，保证应急功能完备、人员到位、装备齐全、响应及时，保证实验防护用品与装备、应急物资的有效性</w:t>
            </w:r>
          </w:p>
        </w:tc>
        <w:tc>
          <w:tcPr>
            <w:tcW w:w="2543" w:type="dxa"/>
            <w:tcMar>
              <w:left w:w="45" w:type="dxa"/>
              <w:right w:w="45" w:type="dxa"/>
            </w:tcMar>
            <w:vAlign w:val="center"/>
          </w:tcPr>
          <w:p w14:paraId="64E39067">
            <w:pPr>
              <w:widowControl/>
              <w:spacing w:line="300" w:lineRule="exact"/>
              <w:rPr>
                <w:rFonts w:hint="default" w:ascii="Times New Roman" w:hAnsi="Times New Roman" w:eastAsia="仿宋_GB2312" w:cs="Times New Roman"/>
                <w:bCs/>
                <w:color w:val="auto"/>
                <w:kern w:val="0"/>
              </w:rPr>
            </w:pPr>
          </w:p>
        </w:tc>
      </w:tr>
      <w:tr w14:paraId="73D48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39EB790">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3</w:t>
            </w:r>
          </w:p>
        </w:tc>
        <w:tc>
          <w:tcPr>
            <w:tcW w:w="14023" w:type="dxa"/>
            <w:gridSpan w:val="3"/>
            <w:tcMar>
              <w:left w:w="45" w:type="dxa"/>
              <w:right w:w="45" w:type="dxa"/>
            </w:tcMar>
            <w:vAlign w:val="center"/>
          </w:tcPr>
          <w:p w14:paraId="0AF4FE82">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教育培训</w:t>
            </w:r>
          </w:p>
        </w:tc>
      </w:tr>
      <w:tr w14:paraId="5D8AD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BBE4A56">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3.1</w:t>
            </w:r>
          </w:p>
        </w:tc>
        <w:tc>
          <w:tcPr>
            <w:tcW w:w="14023" w:type="dxa"/>
            <w:gridSpan w:val="3"/>
            <w:tcMar>
              <w:left w:w="45" w:type="dxa"/>
              <w:right w:w="45" w:type="dxa"/>
            </w:tcMar>
            <w:vAlign w:val="center"/>
          </w:tcPr>
          <w:p w14:paraId="0E368B4E">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安全教育培训活动</w:t>
            </w:r>
          </w:p>
        </w:tc>
      </w:tr>
      <w:tr w14:paraId="64EF5863">
        <w:tblPrEx>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337C23A">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3.1.1</w:t>
            </w:r>
          </w:p>
        </w:tc>
        <w:tc>
          <w:tcPr>
            <w:tcW w:w="3703" w:type="dxa"/>
            <w:tcMar>
              <w:left w:w="45" w:type="dxa"/>
              <w:right w:w="45" w:type="dxa"/>
            </w:tcMar>
            <w:vAlign w:val="center"/>
          </w:tcPr>
          <w:p w14:paraId="7D23097A">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开设实验室安全必修课或选修课</w:t>
            </w:r>
          </w:p>
        </w:tc>
        <w:tc>
          <w:tcPr>
            <w:tcW w:w="7777" w:type="dxa"/>
            <w:tcMar>
              <w:left w:w="45" w:type="dxa"/>
              <w:right w:w="45" w:type="dxa"/>
            </w:tcMar>
            <w:vAlign w:val="center"/>
          </w:tcPr>
          <w:p w14:paraId="442F886D">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（24）对于有</w:t>
            </w:r>
            <w:r>
              <w:rPr>
                <w:rFonts w:hint="default" w:ascii="Times New Roman" w:hAnsi="Times New Roman" w:eastAsia="仿宋_GB2312" w:cs="Times New Roman"/>
                <w:color w:val="auto"/>
                <w:kern w:val="0"/>
                <w:szCs w:val="21"/>
              </w:rPr>
              <w:t>重要危险源</w:t>
            </w:r>
            <w:r>
              <w:rPr>
                <w:rFonts w:hint="default" w:ascii="Times New Roman" w:hAnsi="Times New Roman" w:eastAsia="仿宋_GB2312" w:cs="Times New Roman"/>
                <w:bCs/>
                <w:color w:val="auto"/>
                <w:kern w:val="0"/>
                <w:szCs w:val="21"/>
              </w:rPr>
              <w:t>（见第15目）的院系和专业，要开设有学分的安全教育必修课或将安全教育课程纳入必修环节；鼓励其他专业开设安全选修课</w:t>
            </w:r>
          </w:p>
        </w:tc>
        <w:tc>
          <w:tcPr>
            <w:tcW w:w="2543" w:type="dxa"/>
            <w:tcMar>
              <w:left w:w="45" w:type="dxa"/>
              <w:right w:w="45" w:type="dxa"/>
            </w:tcMar>
            <w:vAlign w:val="center"/>
          </w:tcPr>
          <w:p w14:paraId="6E91A838">
            <w:pPr>
              <w:rPr>
                <w:rFonts w:hint="default" w:ascii="Times New Roman" w:hAnsi="Times New Roman" w:eastAsia="仿宋_GB2312" w:cs="Times New Roman"/>
                <w:bCs/>
                <w:color w:val="auto"/>
                <w:kern w:val="0"/>
                <w:szCs w:val="21"/>
              </w:rPr>
            </w:pPr>
          </w:p>
        </w:tc>
      </w:tr>
      <w:tr w14:paraId="4020F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D1ECB78">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3.1.2</w:t>
            </w:r>
          </w:p>
        </w:tc>
        <w:tc>
          <w:tcPr>
            <w:tcW w:w="3703" w:type="dxa"/>
            <w:tcMar>
              <w:left w:w="45" w:type="dxa"/>
              <w:right w:w="45" w:type="dxa"/>
            </w:tcMar>
            <w:vAlign w:val="center"/>
          </w:tcPr>
          <w:p w14:paraId="31709DF3">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开展安全教育培训活动</w:t>
            </w:r>
          </w:p>
        </w:tc>
        <w:tc>
          <w:tcPr>
            <w:tcW w:w="7777" w:type="dxa"/>
            <w:tcMar>
              <w:left w:w="45" w:type="dxa"/>
              <w:right w:w="45" w:type="dxa"/>
            </w:tcMar>
            <w:vAlign w:val="center"/>
          </w:tcPr>
          <w:p w14:paraId="48684792">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（25）校级层面有档案证明开展了实验室安全教育培训。</w:t>
            </w:r>
          </w:p>
          <w:p w14:paraId="638E9323">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（26）院系层面有档案证明开展了实验室安全教育培训，</w:t>
            </w:r>
            <w:r>
              <w:rPr>
                <w:rFonts w:hint="default" w:ascii="Times New Roman" w:hAnsi="Times New Roman" w:eastAsia="仿宋_GB2312" w:cs="Times New Roman"/>
                <w:color w:val="auto"/>
                <w:kern w:val="0"/>
                <w:szCs w:val="21"/>
              </w:rPr>
              <w:t>重点关注外来人员和研究生新生</w:t>
            </w:r>
          </w:p>
        </w:tc>
        <w:tc>
          <w:tcPr>
            <w:tcW w:w="2543" w:type="dxa"/>
            <w:tcMar>
              <w:left w:w="45" w:type="dxa"/>
              <w:right w:w="45" w:type="dxa"/>
            </w:tcMar>
            <w:vAlign w:val="center"/>
          </w:tcPr>
          <w:p w14:paraId="6FAFA384">
            <w:pPr>
              <w:widowControl/>
              <w:spacing w:line="300" w:lineRule="exact"/>
              <w:rPr>
                <w:rFonts w:hint="default" w:ascii="Times New Roman" w:hAnsi="Times New Roman" w:eastAsia="仿宋_GB2312" w:cs="Times New Roman"/>
                <w:bCs/>
                <w:color w:val="auto"/>
                <w:kern w:val="0"/>
                <w:szCs w:val="21"/>
              </w:rPr>
            </w:pPr>
          </w:p>
        </w:tc>
      </w:tr>
      <w:tr w14:paraId="6C89D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CC41509">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3.1.3</w:t>
            </w:r>
          </w:p>
        </w:tc>
        <w:tc>
          <w:tcPr>
            <w:tcW w:w="3703" w:type="dxa"/>
            <w:tcMar>
              <w:left w:w="45" w:type="dxa"/>
              <w:right w:w="45" w:type="dxa"/>
            </w:tcMar>
            <w:vAlign w:val="center"/>
          </w:tcPr>
          <w:p w14:paraId="1967CA72">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开展结合学科特点的应急演练</w:t>
            </w:r>
          </w:p>
        </w:tc>
        <w:tc>
          <w:tcPr>
            <w:tcW w:w="7777" w:type="dxa"/>
            <w:tcMar>
              <w:left w:w="45" w:type="dxa"/>
              <w:right w:w="45" w:type="dxa"/>
            </w:tcMar>
            <w:vAlign w:val="center"/>
          </w:tcPr>
          <w:p w14:paraId="3DCE3887">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bCs/>
                <w:color w:val="auto"/>
                <w:kern w:val="0"/>
                <w:szCs w:val="21"/>
              </w:rPr>
              <w:t>（27）有实验室安全事故应急演练</w:t>
            </w:r>
          </w:p>
        </w:tc>
        <w:tc>
          <w:tcPr>
            <w:tcW w:w="2543" w:type="dxa"/>
            <w:tcMar>
              <w:left w:w="45" w:type="dxa"/>
              <w:right w:w="45" w:type="dxa"/>
            </w:tcMar>
            <w:vAlign w:val="center"/>
          </w:tcPr>
          <w:p w14:paraId="2B5B66F7">
            <w:pPr>
              <w:widowControl/>
              <w:spacing w:line="300" w:lineRule="exact"/>
              <w:rPr>
                <w:rFonts w:hint="default" w:ascii="Times New Roman" w:hAnsi="Times New Roman" w:eastAsia="仿宋_GB2312" w:cs="Times New Roman"/>
                <w:bCs/>
                <w:color w:val="auto"/>
                <w:kern w:val="0"/>
                <w:szCs w:val="21"/>
              </w:rPr>
            </w:pPr>
          </w:p>
        </w:tc>
      </w:tr>
      <w:tr w14:paraId="531CE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EE336F4">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3.1.4</w:t>
            </w:r>
          </w:p>
        </w:tc>
        <w:tc>
          <w:tcPr>
            <w:tcW w:w="3703" w:type="dxa"/>
            <w:tcMar>
              <w:left w:w="45" w:type="dxa"/>
              <w:right w:w="45" w:type="dxa"/>
            </w:tcMar>
            <w:vAlign w:val="center"/>
          </w:tcPr>
          <w:p w14:paraId="6DC02C25">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组织实验室安全知识考试</w:t>
            </w:r>
          </w:p>
        </w:tc>
        <w:tc>
          <w:tcPr>
            <w:tcW w:w="7777" w:type="dxa"/>
            <w:tcMar>
              <w:left w:w="45" w:type="dxa"/>
              <w:right w:w="45" w:type="dxa"/>
            </w:tcMar>
            <w:vAlign w:val="center"/>
          </w:tcPr>
          <w:p w14:paraId="006A6AE0">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（28）建设有考试系统或考试题库并及时更新，从事实验工作的学生、教职工及外来人员均须参加考试，通过者发放合格证书或保留记录</w:t>
            </w:r>
          </w:p>
        </w:tc>
        <w:tc>
          <w:tcPr>
            <w:tcW w:w="2543" w:type="dxa"/>
            <w:tcMar>
              <w:left w:w="45" w:type="dxa"/>
              <w:right w:w="45" w:type="dxa"/>
            </w:tcMar>
            <w:vAlign w:val="center"/>
          </w:tcPr>
          <w:p w14:paraId="0D92C85A">
            <w:pPr>
              <w:rPr>
                <w:rFonts w:hint="default" w:ascii="Times New Roman" w:hAnsi="Times New Roman" w:eastAsia="仿宋_GB2312" w:cs="Times New Roman"/>
                <w:b/>
                <w:bCs/>
                <w:color w:val="auto"/>
                <w:kern w:val="0"/>
                <w:szCs w:val="21"/>
              </w:rPr>
            </w:pPr>
          </w:p>
        </w:tc>
      </w:tr>
      <w:tr w14:paraId="1F351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707F15B">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3.2</w:t>
            </w:r>
          </w:p>
        </w:tc>
        <w:tc>
          <w:tcPr>
            <w:tcW w:w="14023" w:type="dxa"/>
            <w:gridSpan w:val="3"/>
            <w:tcMar>
              <w:left w:w="45" w:type="dxa"/>
              <w:right w:w="45" w:type="dxa"/>
            </w:tcMar>
            <w:vAlign w:val="center"/>
          </w:tcPr>
          <w:p w14:paraId="26C2EE1A">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安全文化</w:t>
            </w:r>
          </w:p>
        </w:tc>
      </w:tr>
      <w:tr w14:paraId="5B630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3D4AB06">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3.2.1</w:t>
            </w:r>
          </w:p>
        </w:tc>
        <w:tc>
          <w:tcPr>
            <w:tcW w:w="3703" w:type="dxa"/>
            <w:tcMar>
              <w:left w:w="45" w:type="dxa"/>
              <w:right w:w="45" w:type="dxa"/>
            </w:tcMar>
            <w:vAlign w:val="center"/>
          </w:tcPr>
          <w:p w14:paraId="20B1E1DE">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建设有学校特色的安全文化</w:t>
            </w:r>
          </w:p>
        </w:tc>
        <w:tc>
          <w:tcPr>
            <w:tcW w:w="7777" w:type="dxa"/>
            <w:tcMar>
              <w:left w:w="45" w:type="dxa"/>
              <w:right w:w="45" w:type="dxa"/>
            </w:tcMar>
            <w:vAlign w:val="center"/>
          </w:tcPr>
          <w:p w14:paraId="6332CF92">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（29）学校有网页设立专栏开展安全宣传。</w:t>
            </w:r>
          </w:p>
          <w:p w14:paraId="2F5210A5">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（30）编印学校实验室安全手册，将实验室安全手册发放到每一位从事实验活动的师生。</w:t>
            </w:r>
          </w:p>
          <w:p w14:paraId="7A556666">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（31）创新宣传教育形式，通过微信公众号、微博、工作简报、文化月、专项整治活动、安全评估、知识竞赛、微电影等方式，加强安全宣传</w:t>
            </w:r>
          </w:p>
        </w:tc>
        <w:tc>
          <w:tcPr>
            <w:tcW w:w="2543" w:type="dxa"/>
            <w:tcMar>
              <w:left w:w="45" w:type="dxa"/>
              <w:right w:w="45" w:type="dxa"/>
            </w:tcMar>
            <w:vAlign w:val="center"/>
          </w:tcPr>
          <w:p w14:paraId="39465CCD">
            <w:pPr>
              <w:widowControl/>
              <w:spacing w:line="300" w:lineRule="exact"/>
              <w:rPr>
                <w:rFonts w:hint="default" w:ascii="Times New Roman" w:hAnsi="Times New Roman" w:eastAsia="仿宋_GB2312" w:cs="Times New Roman"/>
                <w:b/>
                <w:bCs/>
                <w:color w:val="auto"/>
                <w:kern w:val="0"/>
                <w:szCs w:val="21"/>
              </w:rPr>
            </w:pPr>
          </w:p>
        </w:tc>
      </w:tr>
      <w:tr w14:paraId="35FEC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116457A">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3.2.2</w:t>
            </w:r>
          </w:p>
        </w:tc>
        <w:tc>
          <w:tcPr>
            <w:tcW w:w="3703" w:type="dxa"/>
            <w:tcMar>
              <w:left w:w="45" w:type="dxa"/>
              <w:right w:w="45" w:type="dxa"/>
            </w:tcMar>
            <w:vAlign w:val="center"/>
          </w:tcPr>
          <w:p w14:paraId="4E7418C9">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建立实验室安全隐患举报制度</w:t>
            </w:r>
          </w:p>
        </w:tc>
        <w:tc>
          <w:tcPr>
            <w:tcW w:w="7777" w:type="dxa"/>
            <w:tcMar>
              <w:left w:w="45" w:type="dxa"/>
              <w:right w:w="45" w:type="dxa"/>
            </w:tcMar>
            <w:vAlign w:val="center"/>
          </w:tcPr>
          <w:p w14:paraId="56E7AB17">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（32）建立实验室安全隐患举报制度，公布实验室安全隐患举报邮箱、电话、信箱等</w:t>
            </w:r>
          </w:p>
        </w:tc>
        <w:tc>
          <w:tcPr>
            <w:tcW w:w="2543" w:type="dxa"/>
            <w:tcMar>
              <w:left w:w="45" w:type="dxa"/>
              <w:right w:w="45" w:type="dxa"/>
            </w:tcMar>
            <w:vAlign w:val="center"/>
          </w:tcPr>
          <w:p w14:paraId="109B6F05">
            <w:pPr>
              <w:rPr>
                <w:rFonts w:hint="default" w:ascii="Times New Roman" w:hAnsi="Times New Roman" w:eastAsia="仿宋_GB2312" w:cs="Times New Roman"/>
                <w:b/>
                <w:bCs/>
                <w:color w:val="auto"/>
                <w:kern w:val="0"/>
                <w:szCs w:val="21"/>
              </w:rPr>
            </w:pPr>
          </w:p>
        </w:tc>
      </w:tr>
      <w:tr w14:paraId="38A2D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A54B98F">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4</w:t>
            </w:r>
          </w:p>
        </w:tc>
        <w:tc>
          <w:tcPr>
            <w:tcW w:w="14023" w:type="dxa"/>
            <w:gridSpan w:val="3"/>
            <w:tcMar>
              <w:left w:w="45" w:type="dxa"/>
              <w:right w:w="45" w:type="dxa"/>
            </w:tcMar>
            <w:vAlign w:val="center"/>
          </w:tcPr>
          <w:p w14:paraId="6F5F5DEA">
            <w:pPr>
              <w:widowControl/>
              <w:spacing w:line="300" w:lineRule="exact"/>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color w:val="auto"/>
                <w:kern w:val="0"/>
                <w:szCs w:val="21"/>
              </w:rPr>
              <w:t>安全准入</w:t>
            </w:r>
          </w:p>
        </w:tc>
      </w:tr>
      <w:tr w14:paraId="35B7C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A523EAC">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4.1</w:t>
            </w:r>
          </w:p>
        </w:tc>
        <w:tc>
          <w:tcPr>
            <w:tcW w:w="11480" w:type="dxa"/>
            <w:gridSpan w:val="2"/>
            <w:tcMar>
              <w:left w:w="45" w:type="dxa"/>
              <w:right w:w="45" w:type="dxa"/>
            </w:tcMar>
            <w:vAlign w:val="center"/>
          </w:tcPr>
          <w:p w14:paraId="203B27C0">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项目安全准入</w:t>
            </w:r>
          </w:p>
        </w:tc>
        <w:tc>
          <w:tcPr>
            <w:tcW w:w="2543" w:type="dxa"/>
            <w:tcMar>
              <w:left w:w="45" w:type="dxa"/>
              <w:right w:w="45" w:type="dxa"/>
            </w:tcMar>
            <w:vAlign w:val="center"/>
          </w:tcPr>
          <w:p w14:paraId="1870AD5F">
            <w:pPr>
              <w:widowControl/>
              <w:spacing w:line="300" w:lineRule="exact"/>
              <w:rPr>
                <w:rFonts w:hint="default" w:ascii="Times New Roman" w:hAnsi="Times New Roman" w:eastAsia="仿宋_GB2312" w:cs="Times New Roman"/>
                <w:b/>
                <w:bCs/>
                <w:color w:val="auto"/>
                <w:kern w:val="0"/>
                <w:szCs w:val="21"/>
              </w:rPr>
            </w:pPr>
          </w:p>
        </w:tc>
      </w:tr>
      <w:tr w14:paraId="464AA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658C712">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4.1.1</w:t>
            </w:r>
          </w:p>
        </w:tc>
        <w:tc>
          <w:tcPr>
            <w:tcW w:w="3703" w:type="dxa"/>
            <w:tcMar>
              <w:left w:w="45" w:type="dxa"/>
              <w:right w:w="45" w:type="dxa"/>
            </w:tcMar>
            <w:vAlign w:val="center"/>
          </w:tcPr>
          <w:p w14:paraId="76D9F978">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对项目进行实验室安全风险评估，保证实验室满足开展项目活动的安全条件</w:t>
            </w:r>
          </w:p>
        </w:tc>
        <w:tc>
          <w:tcPr>
            <w:tcW w:w="7777" w:type="dxa"/>
            <w:tcMar>
              <w:left w:w="45" w:type="dxa"/>
              <w:right w:w="45" w:type="dxa"/>
            </w:tcMar>
            <w:vAlign w:val="center"/>
          </w:tcPr>
          <w:p w14:paraId="23445B12">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（33）项目负责人负责对实验项目进行危险源辨识、风险评估和控制，制定现场处置方案，指导有关人员做好安全防护</w:t>
            </w:r>
          </w:p>
        </w:tc>
        <w:tc>
          <w:tcPr>
            <w:tcW w:w="2543" w:type="dxa"/>
            <w:tcMar>
              <w:left w:w="45" w:type="dxa"/>
              <w:right w:w="45" w:type="dxa"/>
            </w:tcMar>
            <w:vAlign w:val="center"/>
          </w:tcPr>
          <w:p w14:paraId="1066795D">
            <w:pPr>
              <w:widowControl/>
              <w:spacing w:line="300" w:lineRule="exact"/>
              <w:rPr>
                <w:rFonts w:hint="default" w:ascii="Times New Roman" w:hAnsi="Times New Roman" w:eastAsia="仿宋_GB2312" w:cs="Times New Roman"/>
                <w:b/>
                <w:bCs/>
                <w:color w:val="auto"/>
                <w:kern w:val="0"/>
                <w:szCs w:val="21"/>
              </w:rPr>
            </w:pPr>
          </w:p>
        </w:tc>
      </w:tr>
      <w:tr w14:paraId="3E086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89A5EAC">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4.2</w:t>
            </w:r>
          </w:p>
        </w:tc>
        <w:tc>
          <w:tcPr>
            <w:tcW w:w="11480" w:type="dxa"/>
            <w:gridSpan w:val="2"/>
            <w:tcMar>
              <w:left w:w="45" w:type="dxa"/>
              <w:right w:w="45" w:type="dxa"/>
            </w:tcMar>
            <w:vAlign w:val="center"/>
          </w:tcPr>
          <w:p w14:paraId="152ED071">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人员安全准入</w:t>
            </w:r>
          </w:p>
        </w:tc>
        <w:tc>
          <w:tcPr>
            <w:tcW w:w="2543" w:type="dxa"/>
            <w:tcMar>
              <w:left w:w="45" w:type="dxa"/>
              <w:right w:w="45" w:type="dxa"/>
            </w:tcMar>
            <w:vAlign w:val="center"/>
          </w:tcPr>
          <w:p w14:paraId="3FFF3E5E">
            <w:pPr>
              <w:widowControl/>
              <w:spacing w:line="300" w:lineRule="exact"/>
              <w:rPr>
                <w:rFonts w:hint="default" w:ascii="Times New Roman" w:hAnsi="Times New Roman" w:eastAsia="仿宋_GB2312" w:cs="Times New Roman"/>
                <w:b/>
                <w:bCs/>
                <w:color w:val="auto"/>
                <w:kern w:val="0"/>
                <w:szCs w:val="21"/>
              </w:rPr>
            </w:pPr>
          </w:p>
        </w:tc>
      </w:tr>
      <w:tr w14:paraId="0FC11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2AF3E98">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4.2.1</w:t>
            </w:r>
          </w:p>
        </w:tc>
        <w:tc>
          <w:tcPr>
            <w:tcW w:w="3703" w:type="dxa"/>
            <w:tcMar>
              <w:left w:w="45" w:type="dxa"/>
              <w:right w:w="45" w:type="dxa"/>
            </w:tcMar>
            <w:vAlign w:val="center"/>
          </w:tcPr>
          <w:p w14:paraId="78013045">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实验人员须经过安全培训和考核，获得实验室安全准入资格</w:t>
            </w:r>
          </w:p>
        </w:tc>
        <w:tc>
          <w:tcPr>
            <w:tcW w:w="7777" w:type="dxa"/>
            <w:tcMar>
              <w:left w:w="45" w:type="dxa"/>
              <w:right w:w="45" w:type="dxa"/>
            </w:tcMar>
            <w:vAlign w:val="center"/>
          </w:tcPr>
          <w:p w14:paraId="60A5CC36">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（34）实验人员应获得实验室准入资格，并严格遵守各项管理制度</w:t>
            </w:r>
          </w:p>
        </w:tc>
        <w:tc>
          <w:tcPr>
            <w:tcW w:w="2543" w:type="dxa"/>
            <w:tcMar>
              <w:left w:w="45" w:type="dxa"/>
              <w:right w:w="45" w:type="dxa"/>
            </w:tcMar>
            <w:vAlign w:val="center"/>
          </w:tcPr>
          <w:p w14:paraId="53982B47">
            <w:pPr>
              <w:widowControl/>
              <w:spacing w:line="300" w:lineRule="exact"/>
              <w:rPr>
                <w:rFonts w:hint="default" w:ascii="Times New Roman" w:hAnsi="Times New Roman" w:eastAsia="仿宋_GB2312" w:cs="Times New Roman"/>
                <w:b/>
                <w:bCs/>
                <w:color w:val="auto"/>
                <w:kern w:val="0"/>
                <w:szCs w:val="21"/>
              </w:rPr>
            </w:pPr>
          </w:p>
        </w:tc>
      </w:tr>
      <w:tr w14:paraId="548A1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EEA1F38">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4.3</w:t>
            </w:r>
          </w:p>
        </w:tc>
        <w:tc>
          <w:tcPr>
            <w:tcW w:w="11480" w:type="dxa"/>
            <w:gridSpan w:val="2"/>
            <w:tcMar>
              <w:left w:w="45" w:type="dxa"/>
              <w:right w:w="45" w:type="dxa"/>
            </w:tcMar>
            <w:vAlign w:val="center"/>
          </w:tcPr>
          <w:p w14:paraId="76BC9795">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安全风险分析</w:t>
            </w:r>
          </w:p>
        </w:tc>
        <w:tc>
          <w:tcPr>
            <w:tcW w:w="2543" w:type="dxa"/>
            <w:tcMar>
              <w:left w:w="45" w:type="dxa"/>
              <w:right w:w="45" w:type="dxa"/>
            </w:tcMar>
            <w:vAlign w:val="center"/>
          </w:tcPr>
          <w:p w14:paraId="3C10333A">
            <w:pPr>
              <w:widowControl/>
              <w:spacing w:line="300" w:lineRule="exact"/>
              <w:rPr>
                <w:rFonts w:hint="default" w:ascii="Times New Roman" w:hAnsi="Times New Roman" w:eastAsia="仿宋_GB2312" w:cs="Times New Roman"/>
                <w:b/>
                <w:bCs/>
                <w:color w:val="auto"/>
                <w:kern w:val="0"/>
                <w:szCs w:val="21"/>
              </w:rPr>
            </w:pPr>
          </w:p>
        </w:tc>
      </w:tr>
      <w:tr w14:paraId="4BA30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136D9CC">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4.3.1</w:t>
            </w:r>
          </w:p>
        </w:tc>
        <w:tc>
          <w:tcPr>
            <w:tcW w:w="3703" w:type="dxa"/>
            <w:tcMar>
              <w:left w:w="45" w:type="dxa"/>
              <w:right w:w="45" w:type="dxa"/>
            </w:tcMar>
            <w:vAlign w:val="center"/>
          </w:tcPr>
          <w:p w14:paraId="404E44B2">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对研究选题进行安全风险分析，做好防控和应急准备</w:t>
            </w:r>
          </w:p>
        </w:tc>
        <w:tc>
          <w:tcPr>
            <w:tcW w:w="7777" w:type="dxa"/>
            <w:tcMar>
              <w:left w:w="45" w:type="dxa"/>
              <w:right w:w="45" w:type="dxa"/>
            </w:tcMar>
            <w:vAlign w:val="center"/>
          </w:tcPr>
          <w:p w14:paraId="15AE357C">
            <w:pPr>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（35）开展实验前应进行安全风险分析，尤其是</w:t>
            </w:r>
            <w:r>
              <w:rPr>
                <w:rFonts w:hint="default" w:ascii="Times New Roman" w:hAnsi="Times New Roman" w:eastAsia="仿宋_GB2312" w:cs="Times New Roman"/>
                <w:b/>
                <w:bCs/>
                <w:color w:val="auto"/>
                <w:kern w:val="0"/>
                <w:szCs w:val="21"/>
              </w:rPr>
              <w:t>改变关键参数必须重新进行分析，通过审核后方可进行实验</w:t>
            </w:r>
          </w:p>
        </w:tc>
        <w:tc>
          <w:tcPr>
            <w:tcW w:w="2543" w:type="dxa"/>
            <w:tcMar>
              <w:left w:w="45" w:type="dxa"/>
              <w:right w:w="45" w:type="dxa"/>
            </w:tcMar>
            <w:vAlign w:val="center"/>
          </w:tcPr>
          <w:p w14:paraId="5746A133">
            <w:pPr>
              <w:widowControl/>
              <w:spacing w:line="300" w:lineRule="exact"/>
              <w:rPr>
                <w:rFonts w:hint="default" w:ascii="Times New Roman" w:hAnsi="Times New Roman" w:eastAsia="仿宋_GB2312" w:cs="Times New Roman"/>
                <w:b/>
                <w:bCs/>
                <w:color w:val="auto"/>
                <w:kern w:val="0"/>
                <w:szCs w:val="21"/>
              </w:rPr>
            </w:pPr>
          </w:p>
        </w:tc>
      </w:tr>
      <w:tr w14:paraId="74895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7A32A89">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5</w:t>
            </w:r>
          </w:p>
        </w:tc>
        <w:tc>
          <w:tcPr>
            <w:tcW w:w="14023" w:type="dxa"/>
            <w:gridSpan w:val="3"/>
            <w:tcMar>
              <w:left w:w="45" w:type="dxa"/>
              <w:right w:w="45" w:type="dxa"/>
            </w:tcMar>
            <w:vAlign w:val="center"/>
          </w:tcPr>
          <w:p w14:paraId="59A39B4A">
            <w:pPr>
              <w:widowControl/>
              <w:spacing w:line="300" w:lineRule="exact"/>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安全检查</w:t>
            </w:r>
          </w:p>
        </w:tc>
      </w:tr>
      <w:tr w14:paraId="27890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3F6447E">
            <w:pPr>
              <w:widowControl/>
              <w:spacing w:line="300" w:lineRule="exact"/>
              <w:rPr>
                <w:rFonts w:hint="default" w:ascii="Times New Roman" w:hAnsi="Times New Roman" w:eastAsia="仿宋_GB2312" w:cs="Times New Roman"/>
                <w:b/>
                <w:color w:val="auto"/>
                <w:kern w:val="0"/>
                <w:szCs w:val="21"/>
                <w:highlight w:val="yellow"/>
              </w:rPr>
            </w:pPr>
            <w:r>
              <w:rPr>
                <w:rFonts w:hint="default" w:ascii="Times New Roman" w:hAnsi="Times New Roman" w:eastAsia="仿宋_GB2312" w:cs="Times New Roman"/>
                <w:b/>
                <w:color w:val="auto"/>
                <w:kern w:val="0"/>
                <w:szCs w:val="21"/>
                <w:highlight w:val="yellow"/>
              </w:rPr>
              <w:t>5.1</w:t>
            </w:r>
          </w:p>
        </w:tc>
        <w:tc>
          <w:tcPr>
            <w:tcW w:w="14023" w:type="dxa"/>
            <w:gridSpan w:val="3"/>
            <w:tcMar>
              <w:left w:w="45" w:type="dxa"/>
              <w:right w:w="45" w:type="dxa"/>
            </w:tcMar>
            <w:vAlign w:val="center"/>
          </w:tcPr>
          <w:p w14:paraId="29AE874B">
            <w:pPr>
              <w:widowControl/>
              <w:spacing w:line="300" w:lineRule="exact"/>
              <w:rPr>
                <w:rFonts w:hint="default" w:ascii="Times New Roman" w:hAnsi="Times New Roman" w:eastAsia="仿宋_GB2312" w:cs="Times New Roman"/>
                <w:b/>
                <w:bCs/>
                <w:color w:val="auto"/>
                <w:kern w:val="0"/>
                <w:szCs w:val="21"/>
                <w:highlight w:val="yellow"/>
              </w:rPr>
            </w:pPr>
            <w:r>
              <w:rPr>
                <w:rFonts w:hint="default" w:ascii="Times New Roman" w:hAnsi="Times New Roman" w:eastAsia="仿宋_GB2312" w:cs="Times New Roman"/>
                <w:b/>
                <w:bCs/>
                <w:color w:val="auto"/>
                <w:kern w:val="0"/>
                <w:szCs w:val="21"/>
                <w:highlight w:val="yellow"/>
              </w:rPr>
              <w:t>危险源辨识</w:t>
            </w:r>
          </w:p>
        </w:tc>
      </w:tr>
      <w:tr w14:paraId="7EB9A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E3ECD98">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5.1.1</w:t>
            </w:r>
          </w:p>
        </w:tc>
        <w:tc>
          <w:tcPr>
            <w:tcW w:w="3703" w:type="dxa"/>
            <w:tcMar>
              <w:left w:w="45" w:type="dxa"/>
              <w:right w:w="45" w:type="dxa"/>
            </w:tcMar>
            <w:vAlign w:val="center"/>
          </w:tcPr>
          <w:p w14:paraId="5A6211BD">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学校、院系、实验室层面建立危险源分布清单</w:t>
            </w:r>
          </w:p>
        </w:tc>
        <w:tc>
          <w:tcPr>
            <w:tcW w:w="7777" w:type="dxa"/>
            <w:tcMar>
              <w:left w:w="45" w:type="dxa"/>
              <w:right w:w="45" w:type="dxa"/>
            </w:tcMar>
            <w:vAlign w:val="center"/>
          </w:tcPr>
          <w:p w14:paraId="7F4F7179">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（36）清单内容须包括单位、房间、类别、数量、分级分类、责任人等信息</w:t>
            </w:r>
          </w:p>
        </w:tc>
        <w:tc>
          <w:tcPr>
            <w:tcW w:w="2543" w:type="dxa"/>
            <w:tcMar>
              <w:left w:w="45" w:type="dxa"/>
              <w:right w:w="45" w:type="dxa"/>
            </w:tcMar>
            <w:vAlign w:val="center"/>
          </w:tcPr>
          <w:p w14:paraId="25C12BCA">
            <w:pPr>
              <w:widowControl/>
              <w:spacing w:line="300" w:lineRule="exact"/>
              <w:rPr>
                <w:rFonts w:hint="default" w:ascii="Times New Roman" w:hAnsi="Times New Roman" w:eastAsia="仿宋_GB2312" w:cs="Times New Roman"/>
                <w:bCs/>
                <w:color w:val="auto"/>
                <w:kern w:val="0"/>
                <w:szCs w:val="21"/>
              </w:rPr>
            </w:pPr>
          </w:p>
        </w:tc>
      </w:tr>
      <w:tr w14:paraId="730E5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48FFBBA">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5.1.2</w:t>
            </w:r>
          </w:p>
        </w:tc>
        <w:tc>
          <w:tcPr>
            <w:tcW w:w="3703" w:type="dxa"/>
            <w:tcMar>
              <w:left w:w="45" w:type="dxa"/>
              <w:right w:w="45" w:type="dxa"/>
            </w:tcMar>
            <w:vAlign w:val="center"/>
          </w:tcPr>
          <w:p w14:paraId="12B8EA36">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涉及危险源的实验场所，须有明确的警示标识</w:t>
            </w:r>
          </w:p>
        </w:tc>
        <w:tc>
          <w:tcPr>
            <w:tcW w:w="7777" w:type="dxa"/>
            <w:tcMar>
              <w:left w:w="45" w:type="dxa"/>
              <w:right w:w="45" w:type="dxa"/>
            </w:tcMar>
            <w:vAlign w:val="center"/>
          </w:tcPr>
          <w:p w14:paraId="5AFDD2B6">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（37）涉及重要危险源（见第15目）的场所，有显著的警示标识</w:t>
            </w:r>
          </w:p>
        </w:tc>
        <w:tc>
          <w:tcPr>
            <w:tcW w:w="2543" w:type="dxa"/>
            <w:tcMar>
              <w:left w:w="45" w:type="dxa"/>
              <w:right w:w="45" w:type="dxa"/>
            </w:tcMar>
            <w:vAlign w:val="center"/>
          </w:tcPr>
          <w:p w14:paraId="568979B1">
            <w:pPr>
              <w:widowControl/>
              <w:spacing w:line="300" w:lineRule="exact"/>
              <w:rPr>
                <w:rFonts w:hint="default" w:ascii="Times New Roman" w:hAnsi="Times New Roman" w:eastAsia="仿宋_GB2312" w:cs="Times New Roman"/>
                <w:bCs/>
                <w:color w:val="auto"/>
                <w:kern w:val="0"/>
                <w:szCs w:val="21"/>
              </w:rPr>
            </w:pPr>
          </w:p>
        </w:tc>
      </w:tr>
      <w:tr w14:paraId="2BE52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7807C48">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5.1.3</w:t>
            </w:r>
          </w:p>
        </w:tc>
        <w:tc>
          <w:tcPr>
            <w:tcW w:w="3703" w:type="dxa"/>
            <w:tcMar>
              <w:left w:w="45" w:type="dxa"/>
              <w:right w:w="45" w:type="dxa"/>
            </w:tcMar>
            <w:vAlign w:val="center"/>
          </w:tcPr>
          <w:p w14:paraId="672C800A">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建立针对重要危险源的风险管理和应急预案</w:t>
            </w:r>
          </w:p>
        </w:tc>
        <w:tc>
          <w:tcPr>
            <w:tcW w:w="7777" w:type="dxa"/>
            <w:tcMar>
              <w:left w:w="45" w:type="dxa"/>
              <w:right w:w="45" w:type="dxa"/>
            </w:tcMar>
            <w:vAlign w:val="center"/>
          </w:tcPr>
          <w:p w14:paraId="3138EE14">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38）建立风险分级分类管控方案。实验室要根据存在的危险源及其存量进行风险评价，判定本实验室安全等级，并依据实验室中存在的主要危险源类别判定实验室安全类别；院系要审核确认所属实验室类别和风险等级，建立本单位实验室安全分级分类管理台账，提交学校实验室安全主管职能部门备案；学校要建立本校实验室安全分级分类管理台账，及时录入信息化管理系统或电子造册。分级分类管理台账要依据研究内容、危险源类型与数量等变化，或实验室建设项目调整而适时更新。高风险等级实验室，要按要求适时向相应的教育、公安（治安）、生态环境、卫生健康、农业农村、市场监督（质检）、应急管理等主管部门报备并接受监督。</w:t>
            </w:r>
          </w:p>
          <w:p w14:paraId="70124510">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（39）院系和实验室应建立针对重要危险源的应急预案</w:t>
            </w:r>
          </w:p>
        </w:tc>
        <w:tc>
          <w:tcPr>
            <w:tcW w:w="2543" w:type="dxa"/>
            <w:tcMar>
              <w:left w:w="45" w:type="dxa"/>
              <w:right w:w="45" w:type="dxa"/>
            </w:tcMar>
            <w:vAlign w:val="center"/>
          </w:tcPr>
          <w:p w14:paraId="07F061D0">
            <w:pPr>
              <w:widowControl/>
              <w:spacing w:line="300" w:lineRule="exact"/>
              <w:rPr>
                <w:rFonts w:hint="default" w:ascii="Times New Roman" w:hAnsi="Times New Roman" w:eastAsia="仿宋_GB2312" w:cs="Times New Roman"/>
                <w:bCs/>
                <w:color w:val="auto"/>
                <w:kern w:val="0"/>
                <w:szCs w:val="21"/>
              </w:rPr>
            </w:pPr>
          </w:p>
        </w:tc>
      </w:tr>
      <w:tr w14:paraId="4A39F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1A4E3F6">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5.2</w:t>
            </w:r>
          </w:p>
        </w:tc>
        <w:tc>
          <w:tcPr>
            <w:tcW w:w="14023" w:type="dxa"/>
            <w:gridSpan w:val="3"/>
            <w:tcMar>
              <w:left w:w="45" w:type="dxa"/>
              <w:right w:w="45" w:type="dxa"/>
            </w:tcMar>
            <w:vAlign w:val="center"/>
          </w:tcPr>
          <w:p w14:paraId="7DCA054B">
            <w:pPr>
              <w:widowControl/>
              <w:spacing w:line="300" w:lineRule="exact"/>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安全检查</w:t>
            </w:r>
          </w:p>
        </w:tc>
      </w:tr>
      <w:tr w14:paraId="7563C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E0D1D30">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5.2.1</w:t>
            </w:r>
          </w:p>
        </w:tc>
        <w:tc>
          <w:tcPr>
            <w:tcW w:w="3703" w:type="dxa"/>
            <w:tcMar>
              <w:left w:w="45" w:type="dxa"/>
              <w:right w:w="45" w:type="dxa"/>
            </w:tcMar>
            <w:vAlign w:val="center"/>
          </w:tcPr>
          <w:p w14:paraId="48257BED">
            <w:pPr>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bCs/>
                <w:color w:val="auto"/>
                <w:kern w:val="0"/>
                <w:szCs w:val="21"/>
              </w:rPr>
              <w:t>学校、院系层面安全检查及实验室自检自查</w:t>
            </w:r>
          </w:p>
        </w:tc>
        <w:tc>
          <w:tcPr>
            <w:tcW w:w="7777" w:type="dxa"/>
            <w:tcMar>
              <w:left w:w="45" w:type="dxa"/>
              <w:right w:w="45" w:type="dxa"/>
            </w:tcMar>
            <w:vAlign w:val="center"/>
          </w:tcPr>
          <w:p w14:paraId="6110037E">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（40）学校、院系、实验室三个层面按照不少于实验室安全分级分类管理要求的检查频次开展安全检查。安全检查及整改都应保存记录</w:t>
            </w:r>
          </w:p>
        </w:tc>
        <w:tc>
          <w:tcPr>
            <w:tcW w:w="2543" w:type="dxa"/>
            <w:tcMar>
              <w:left w:w="45" w:type="dxa"/>
              <w:right w:w="45" w:type="dxa"/>
            </w:tcMar>
            <w:vAlign w:val="center"/>
          </w:tcPr>
          <w:p w14:paraId="3E62F528">
            <w:pPr>
              <w:widowControl/>
              <w:spacing w:line="300" w:lineRule="exact"/>
              <w:rPr>
                <w:rFonts w:hint="default" w:ascii="Times New Roman" w:hAnsi="Times New Roman" w:eastAsia="仿宋_GB2312" w:cs="Times New Roman"/>
                <w:bCs/>
                <w:color w:val="auto"/>
                <w:kern w:val="0"/>
                <w:szCs w:val="21"/>
              </w:rPr>
            </w:pPr>
          </w:p>
        </w:tc>
      </w:tr>
      <w:tr w14:paraId="4120D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FD982BE">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5.2.2</w:t>
            </w:r>
          </w:p>
        </w:tc>
        <w:tc>
          <w:tcPr>
            <w:tcW w:w="3703" w:type="dxa"/>
            <w:tcMar>
              <w:left w:w="45" w:type="dxa"/>
              <w:right w:w="45" w:type="dxa"/>
            </w:tcMar>
            <w:vAlign w:val="center"/>
          </w:tcPr>
          <w:p w14:paraId="26796E4B">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针对高危实验物品及实验过程开展专项检查</w:t>
            </w:r>
          </w:p>
        </w:tc>
        <w:tc>
          <w:tcPr>
            <w:tcW w:w="7777" w:type="dxa"/>
            <w:tcMar>
              <w:left w:w="45" w:type="dxa"/>
              <w:right w:w="45" w:type="dxa"/>
            </w:tcMar>
            <w:vAlign w:val="center"/>
          </w:tcPr>
          <w:p w14:paraId="1B8900B9">
            <w:pPr>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（41）针对</w:t>
            </w:r>
            <w:r>
              <w:rPr>
                <w:rFonts w:hint="default" w:ascii="Times New Roman" w:hAnsi="Times New Roman" w:eastAsia="仿宋_GB2312" w:cs="Times New Roman"/>
                <w:bCs/>
                <w:color w:val="auto"/>
                <w:kern w:val="0"/>
                <w:szCs w:val="21"/>
              </w:rPr>
              <w:t>重要危险源（见第15目）</w:t>
            </w:r>
            <w:r>
              <w:rPr>
                <w:rFonts w:hint="default" w:ascii="Times New Roman" w:hAnsi="Times New Roman" w:eastAsia="仿宋_GB2312" w:cs="Times New Roman"/>
                <w:color w:val="auto"/>
                <w:kern w:val="0"/>
                <w:szCs w:val="21"/>
              </w:rPr>
              <w:t>，开展定期专项检查</w:t>
            </w:r>
          </w:p>
        </w:tc>
        <w:tc>
          <w:tcPr>
            <w:tcW w:w="2543" w:type="dxa"/>
            <w:tcMar>
              <w:left w:w="45" w:type="dxa"/>
              <w:right w:w="45" w:type="dxa"/>
            </w:tcMar>
            <w:vAlign w:val="center"/>
          </w:tcPr>
          <w:p w14:paraId="71ED8C00">
            <w:pPr>
              <w:widowControl/>
              <w:spacing w:line="300" w:lineRule="exact"/>
              <w:rPr>
                <w:rFonts w:hint="default" w:ascii="Times New Roman" w:hAnsi="Times New Roman" w:eastAsia="仿宋_GB2312" w:cs="Times New Roman"/>
                <w:bCs/>
                <w:color w:val="auto"/>
                <w:kern w:val="0"/>
                <w:szCs w:val="21"/>
              </w:rPr>
            </w:pPr>
          </w:p>
        </w:tc>
      </w:tr>
      <w:tr w14:paraId="171D9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305FB93">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5.2.3</w:t>
            </w:r>
          </w:p>
        </w:tc>
        <w:tc>
          <w:tcPr>
            <w:tcW w:w="3703" w:type="dxa"/>
            <w:tcMar>
              <w:left w:w="45" w:type="dxa"/>
              <w:right w:w="45" w:type="dxa"/>
            </w:tcMar>
            <w:vAlign w:val="center"/>
          </w:tcPr>
          <w:p w14:paraId="379107C6">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安全检查人员应配备专业的防护和计量用具</w:t>
            </w:r>
          </w:p>
        </w:tc>
        <w:tc>
          <w:tcPr>
            <w:tcW w:w="7777" w:type="dxa"/>
            <w:tcMar>
              <w:left w:w="45" w:type="dxa"/>
              <w:right w:w="45" w:type="dxa"/>
            </w:tcMar>
            <w:vAlign w:val="center"/>
          </w:tcPr>
          <w:p w14:paraId="51E41ACF">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42）安全检查人员要佩戴标识、配备照相器具。进入涉及危化品、生物、辐射等的实验室要穿戴必要的防护装具；检查辐射场所要佩戴个人辐射剂量计；配备必要的测量、计量用具（手持式VOC检测仪、声级计、风速仪、电笔、万用表等）</w:t>
            </w:r>
          </w:p>
        </w:tc>
        <w:tc>
          <w:tcPr>
            <w:tcW w:w="2543" w:type="dxa"/>
            <w:tcMar>
              <w:left w:w="45" w:type="dxa"/>
              <w:right w:w="45" w:type="dxa"/>
            </w:tcMar>
            <w:vAlign w:val="center"/>
          </w:tcPr>
          <w:p w14:paraId="36E555E9">
            <w:pPr>
              <w:widowControl/>
              <w:spacing w:line="300" w:lineRule="exact"/>
              <w:rPr>
                <w:rFonts w:hint="default" w:ascii="Times New Roman" w:hAnsi="Times New Roman" w:eastAsia="仿宋_GB2312" w:cs="Times New Roman"/>
                <w:color w:val="auto"/>
              </w:rPr>
            </w:pPr>
          </w:p>
        </w:tc>
      </w:tr>
      <w:tr w14:paraId="7A3D2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50C729E">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5.3</w:t>
            </w:r>
          </w:p>
        </w:tc>
        <w:tc>
          <w:tcPr>
            <w:tcW w:w="14023" w:type="dxa"/>
            <w:gridSpan w:val="3"/>
            <w:tcMar>
              <w:left w:w="45" w:type="dxa"/>
              <w:right w:w="45" w:type="dxa"/>
            </w:tcMar>
            <w:vAlign w:val="center"/>
          </w:tcPr>
          <w:p w14:paraId="2995FDFA">
            <w:pPr>
              <w:widowControl/>
              <w:spacing w:line="300" w:lineRule="exact"/>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安全隐患整改</w:t>
            </w:r>
          </w:p>
        </w:tc>
      </w:tr>
      <w:tr w14:paraId="3F3E1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7EE502F">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5.3.1</w:t>
            </w:r>
          </w:p>
        </w:tc>
        <w:tc>
          <w:tcPr>
            <w:tcW w:w="3703" w:type="dxa"/>
            <w:tcMar>
              <w:left w:w="45" w:type="dxa"/>
              <w:right w:w="45" w:type="dxa"/>
            </w:tcMar>
            <w:vAlign w:val="center"/>
          </w:tcPr>
          <w:p w14:paraId="2C86DC57">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检查中发现的问题应以正式形式通知到相关负责人</w:t>
            </w:r>
          </w:p>
        </w:tc>
        <w:tc>
          <w:tcPr>
            <w:tcW w:w="7777" w:type="dxa"/>
            <w:tcMar>
              <w:left w:w="45" w:type="dxa"/>
              <w:right w:w="45" w:type="dxa"/>
            </w:tcMar>
            <w:vAlign w:val="center"/>
          </w:tcPr>
          <w:p w14:paraId="4CBFB119">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（43）通知的方式包括校网上公告、实验室安全简报、书面或电子的整改通知书等形式</w:t>
            </w:r>
          </w:p>
        </w:tc>
        <w:tc>
          <w:tcPr>
            <w:tcW w:w="2543" w:type="dxa"/>
            <w:tcMar>
              <w:left w:w="45" w:type="dxa"/>
              <w:right w:w="45" w:type="dxa"/>
            </w:tcMar>
            <w:vAlign w:val="center"/>
          </w:tcPr>
          <w:p w14:paraId="70F9EE76">
            <w:pPr>
              <w:widowControl/>
              <w:spacing w:line="300" w:lineRule="exact"/>
              <w:rPr>
                <w:rFonts w:hint="default" w:ascii="Times New Roman" w:hAnsi="Times New Roman" w:eastAsia="仿宋_GB2312" w:cs="Times New Roman"/>
                <w:bCs/>
                <w:color w:val="auto"/>
                <w:kern w:val="0"/>
                <w:szCs w:val="21"/>
              </w:rPr>
            </w:pPr>
          </w:p>
        </w:tc>
      </w:tr>
      <w:tr w14:paraId="6B5ED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B3876B5">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5.3.2</w:t>
            </w:r>
          </w:p>
        </w:tc>
        <w:tc>
          <w:tcPr>
            <w:tcW w:w="3703" w:type="dxa"/>
            <w:tcMar>
              <w:left w:w="45" w:type="dxa"/>
              <w:right w:w="45" w:type="dxa"/>
            </w:tcMar>
            <w:vAlign w:val="center"/>
          </w:tcPr>
          <w:p w14:paraId="502ED053">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院系须及时组织隐患整改</w:t>
            </w:r>
          </w:p>
        </w:tc>
        <w:tc>
          <w:tcPr>
            <w:tcW w:w="7777" w:type="dxa"/>
            <w:tcMar>
              <w:left w:w="45" w:type="dxa"/>
              <w:right w:w="45" w:type="dxa"/>
            </w:tcMar>
            <w:vAlign w:val="center"/>
          </w:tcPr>
          <w:p w14:paraId="2EFAE070">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（44）整改报告应在规定时间内提交学校管理部门。</w:t>
            </w:r>
          </w:p>
          <w:p w14:paraId="6980EBD2">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（45）</w:t>
            </w:r>
            <w:r>
              <w:rPr>
                <w:rFonts w:hint="default" w:ascii="Times New Roman" w:hAnsi="Times New Roman" w:eastAsia="仿宋_GB2312" w:cs="Times New Roman"/>
                <w:b/>
                <w:bCs/>
                <w:color w:val="auto"/>
                <w:kern w:val="0"/>
                <w:szCs w:val="21"/>
              </w:rPr>
              <w:t>如存在重大隐患，实验室应立即停止实验活动，整改完成或采取相应防护措施后方能恢复实验</w:t>
            </w:r>
          </w:p>
        </w:tc>
        <w:tc>
          <w:tcPr>
            <w:tcW w:w="2543" w:type="dxa"/>
            <w:tcMar>
              <w:left w:w="45" w:type="dxa"/>
              <w:right w:w="45" w:type="dxa"/>
            </w:tcMar>
            <w:vAlign w:val="center"/>
          </w:tcPr>
          <w:p w14:paraId="11E3CDE7">
            <w:pPr>
              <w:widowControl/>
              <w:spacing w:line="300" w:lineRule="exact"/>
              <w:rPr>
                <w:rFonts w:hint="default" w:ascii="Times New Roman" w:hAnsi="Times New Roman" w:eastAsia="仿宋_GB2312" w:cs="Times New Roman"/>
                <w:bCs/>
                <w:color w:val="auto"/>
                <w:kern w:val="0"/>
                <w:szCs w:val="21"/>
              </w:rPr>
            </w:pPr>
          </w:p>
        </w:tc>
      </w:tr>
      <w:tr w14:paraId="15621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19DD2CD">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5.4</w:t>
            </w:r>
          </w:p>
        </w:tc>
        <w:tc>
          <w:tcPr>
            <w:tcW w:w="14023" w:type="dxa"/>
            <w:gridSpan w:val="3"/>
            <w:tcMar>
              <w:left w:w="45" w:type="dxa"/>
              <w:right w:w="45" w:type="dxa"/>
            </w:tcMar>
            <w:vAlign w:val="center"/>
          </w:tcPr>
          <w:p w14:paraId="0EACC72F">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安全报告</w:t>
            </w:r>
          </w:p>
        </w:tc>
      </w:tr>
      <w:tr w14:paraId="0AF6B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053F284">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5.4.1</w:t>
            </w:r>
          </w:p>
        </w:tc>
        <w:tc>
          <w:tcPr>
            <w:tcW w:w="3703" w:type="dxa"/>
            <w:tcMar>
              <w:left w:w="45" w:type="dxa"/>
              <w:right w:w="45" w:type="dxa"/>
            </w:tcMar>
            <w:vAlign w:val="center"/>
          </w:tcPr>
          <w:p w14:paraId="5F8BAFFB">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学校有定期/不定期</w:t>
            </w:r>
            <w:r>
              <w:rPr>
                <w:rFonts w:hint="default" w:ascii="Times New Roman" w:hAnsi="Times New Roman" w:eastAsia="仿宋_GB2312" w:cs="Times New Roman"/>
                <w:bCs/>
                <w:color w:val="auto"/>
                <w:kern w:val="0"/>
                <w:szCs w:val="21"/>
              </w:rPr>
              <w:t>的</w:t>
            </w:r>
            <w:r>
              <w:rPr>
                <w:rFonts w:hint="default" w:ascii="Times New Roman" w:hAnsi="Times New Roman" w:eastAsia="仿宋_GB2312" w:cs="Times New Roman"/>
                <w:color w:val="auto"/>
                <w:kern w:val="0"/>
                <w:szCs w:val="21"/>
              </w:rPr>
              <w:t>安全检查通报；院系有安全检查及整改记录</w:t>
            </w:r>
          </w:p>
        </w:tc>
        <w:tc>
          <w:tcPr>
            <w:tcW w:w="7777" w:type="dxa"/>
            <w:tcMar>
              <w:left w:w="45" w:type="dxa"/>
              <w:right w:w="45" w:type="dxa"/>
            </w:tcMar>
            <w:vAlign w:val="center"/>
          </w:tcPr>
          <w:p w14:paraId="0CEB1E1B">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（46）存有相关资料或电子文档</w:t>
            </w:r>
          </w:p>
        </w:tc>
        <w:tc>
          <w:tcPr>
            <w:tcW w:w="2543" w:type="dxa"/>
            <w:tcMar>
              <w:left w:w="45" w:type="dxa"/>
              <w:right w:w="45" w:type="dxa"/>
            </w:tcMar>
            <w:vAlign w:val="center"/>
          </w:tcPr>
          <w:p w14:paraId="32EEB731">
            <w:pPr>
              <w:widowControl/>
              <w:spacing w:line="300" w:lineRule="exact"/>
              <w:rPr>
                <w:rFonts w:hint="default" w:ascii="Times New Roman" w:hAnsi="Times New Roman" w:eastAsia="仿宋_GB2312" w:cs="Times New Roman"/>
                <w:bCs/>
                <w:color w:val="auto"/>
                <w:kern w:val="0"/>
                <w:szCs w:val="21"/>
              </w:rPr>
            </w:pPr>
          </w:p>
        </w:tc>
      </w:tr>
      <w:tr w14:paraId="0F72A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56F140F">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6</w:t>
            </w:r>
          </w:p>
        </w:tc>
        <w:tc>
          <w:tcPr>
            <w:tcW w:w="14023" w:type="dxa"/>
            <w:gridSpan w:val="3"/>
            <w:tcMar>
              <w:left w:w="45" w:type="dxa"/>
              <w:right w:w="45" w:type="dxa"/>
            </w:tcMar>
            <w:vAlign w:val="center"/>
          </w:tcPr>
          <w:p w14:paraId="01615E7E">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实验场所</w:t>
            </w:r>
          </w:p>
        </w:tc>
      </w:tr>
      <w:tr w14:paraId="1760F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DC30C3A">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6.1</w:t>
            </w:r>
          </w:p>
        </w:tc>
        <w:tc>
          <w:tcPr>
            <w:tcW w:w="14023" w:type="dxa"/>
            <w:gridSpan w:val="3"/>
            <w:tcMar>
              <w:left w:w="45" w:type="dxa"/>
              <w:right w:w="45" w:type="dxa"/>
            </w:tcMar>
            <w:vAlign w:val="center"/>
          </w:tcPr>
          <w:p w14:paraId="7EB8ECCA">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场所环境</w:t>
            </w:r>
          </w:p>
        </w:tc>
      </w:tr>
      <w:tr w14:paraId="6E043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CE8E772">
            <w:pPr>
              <w:widowControl/>
              <w:spacing w:line="300" w:lineRule="exact"/>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6.1.1</w:t>
            </w:r>
          </w:p>
        </w:tc>
        <w:tc>
          <w:tcPr>
            <w:tcW w:w="3703" w:type="dxa"/>
            <w:tcMar>
              <w:left w:w="45" w:type="dxa"/>
              <w:right w:w="45" w:type="dxa"/>
            </w:tcMar>
            <w:vAlign w:val="center"/>
          </w:tcPr>
          <w:p w14:paraId="0E03E8DE">
            <w:pPr>
              <w:widowControl/>
              <w:spacing w:line="300" w:lineRule="exact"/>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实验场所应张贴安全信息牌</w:t>
            </w:r>
          </w:p>
        </w:tc>
        <w:tc>
          <w:tcPr>
            <w:tcW w:w="7777" w:type="dxa"/>
            <w:tcMar>
              <w:left w:w="45" w:type="dxa"/>
              <w:right w:w="45" w:type="dxa"/>
            </w:tcMar>
            <w:vAlign w:val="center"/>
          </w:tcPr>
          <w:p w14:paraId="47094837">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szCs w:val="21"/>
              </w:rPr>
              <w:t>（47）每个房间门口挂有安全信息牌，信息包括：实验室分级分类结果、安全风险点的警示标识、安全责任人、涉及危险类别、防护措施和有效的应急联系电话等，并及时更新</w:t>
            </w:r>
          </w:p>
        </w:tc>
        <w:tc>
          <w:tcPr>
            <w:tcW w:w="2543" w:type="dxa"/>
            <w:tcMar>
              <w:left w:w="45" w:type="dxa"/>
              <w:right w:w="45" w:type="dxa"/>
            </w:tcMar>
            <w:vAlign w:val="center"/>
          </w:tcPr>
          <w:p w14:paraId="4A244F54">
            <w:pPr>
              <w:widowControl/>
              <w:spacing w:line="300" w:lineRule="exact"/>
              <w:rPr>
                <w:rFonts w:hint="default" w:ascii="Times New Roman" w:hAnsi="Times New Roman" w:eastAsia="仿宋_GB2312" w:cs="Times New Roman"/>
                <w:bCs/>
                <w:color w:val="auto"/>
                <w:kern w:val="0"/>
                <w:szCs w:val="21"/>
              </w:rPr>
            </w:pPr>
          </w:p>
        </w:tc>
      </w:tr>
      <w:tr w14:paraId="43F68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2065220">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6.1.2</w:t>
            </w:r>
          </w:p>
        </w:tc>
        <w:tc>
          <w:tcPr>
            <w:tcW w:w="3703" w:type="dxa"/>
            <w:tcMar>
              <w:left w:w="45" w:type="dxa"/>
              <w:right w:w="45" w:type="dxa"/>
            </w:tcMar>
            <w:vAlign w:val="center"/>
          </w:tcPr>
          <w:p w14:paraId="378964AD">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实验场所应具备合理的安全空间布局</w:t>
            </w:r>
          </w:p>
        </w:tc>
        <w:tc>
          <w:tcPr>
            <w:tcW w:w="7777" w:type="dxa"/>
            <w:tcMar>
              <w:left w:w="45" w:type="dxa"/>
              <w:right w:w="45" w:type="dxa"/>
            </w:tcMar>
            <w:vAlign w:val="center"/>
          </w:tcPr>
          <w:p w14:paraId="2CE80C87">
            <w:pPr>
              <w:widowControl/>
              <w:spacing w:line="300" w:lineRule="exact"/>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（48）超过200m</w:t>
            </w:r>
            <w:r>
              <w:rPr>
                <w:rFonts w:hint="default" w:ascii="Times New Roman" w:hAnsi="Times New Roman" w:eastAsia="仿宋_GB2312" w:cs="Times New Roman"/>
                <w:color w:val="auto"/>
                <w:szCs w:val="21"/>
                <w:vertAlign w:val="superscript"/>
              </w:rPr>
              <w:t>2</w:t>
            </w:r>
            <w:r>
              <w:rPr>
                <w:rFonts w:hint="default" w:ascii="Times New Roman" w:hAnsi="Times New Roman" w:eastAsia="仿宋_GB2312" w:cs="Times New Roman"/>
                <w:color w:val="auto"/>
                <w:szCs w:val="21"/>
              </w:rPr>
              <w:t>的实验楼层具有至少两处安全出口，75m</w:t>
            </w:r>
            <w:r>
              <w:rPr>
                <w:rFonts w:hint="default" w:ascii="Times New Roman" w:hAnsi="Times New Roman" w:eastAsia="仿宋_GB2312" w:cs="Times New Roman"/>
                <w:color w:val="auto"/>
                <w:szCs w:val="21"/>
                <w:vertAlign w:val="superscript"/>
              </w:rPr>
              <w:t>2</w:t>
            </w:r>
            <w:r>
              <w:rPr>
                <w:rFonts w:hint="default" w:ascii="Times New Roman" w:hAnsi="Times New Roman" w:eastAsia="仿宋_GB2312" w:cs="Times New Roman"/>
                <w:color w:val="auto"/>
                <w:szCs w:val="21"/>
              </w:rPr>
              <w:t>以上实验室要有两个出入口。</w:t>
            </w:r>
          </w:p>
          <w:p w14:paraId="5D355C0D">
            <w:pPr>
              <w:widowControl/>
              <w:spacing w:line="300" w:lineRule="exact"/>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（49）实验楼大走廊保证留有大于1.5m净宽的消防通道。</w:t>
            </w:r>
          </w:p>
          <w:p w14:paraId="631943B9">
            <w:pPr>
              <w:widowControl/>
              <w:spacing w:line="300" w:lineRule="exact"/>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（50）实验室操作区层高不低于2m。</w:t>
            </w:r>
          </w:p>
          <w:p w14:paraId="5B480AB7">
            <w:pPr>
              <w:widowControl/>
              <w:spacing w:line="300" w:lineRule="exact"/>
              <w:rPr>
                <w:rFonts w:hint="default" w:ascii="Times New Roman" w:hAnsi="Times New Roman" w:eastAsia="仿宋_GB2312" w:cs="Times New Roman"/>
                <w:color w:val="auto"/>
                <w:szCs w:val="21"/>
                <w:vertAlign w:val="superscript"/>
              </w:rPr>
            </w:pPr>
            <w:r>
              <w:rPr>
                <w:rFonts w:hint="default" w:ascii="Times New Roman" w:hAnsi="Times New Roman" w:eastAsia="仿宋_GB2312" w:cs="Times New Roman"/>
                <w:color w:val="auto"/>
                <w:szCs w:val="21"/>
              </w:rPr>
              <w:t>（51）理工农医类实验室内多人同时进行实验时，人均操作面积不小于2.5m</w:t>
            </w:r>
            <w:r>
              <w:rPr>
                <w:rFonts w:hint="default" w:ascii="Times New Roman" w:hAnsi="Times New Roman" w:eastAsia="仿宋_GB2312" w:cs="Times New Roman"/>
                <w:color w:val="auto"/>
                <w:szCs w:val="21"/>
                <w:vertAlign w:val="superscript"/>
              </w:rPr>
              <w:t>2</w:t>
            </w:r>
          </w:p>
        </w:tc>
        <w:tc>
          <w:tcPr>
            <w:tcW w:w="2543" w:type="dxa"/>
            <w:tcMar>
              <w:left w:w="45" w:type="dxa"/>
              <w:right w:w="45" w:type="dxa"/>
            </w:tcMar>
            <w:vAlign w:val="center"/>
          </w:tcPr>
          <w:p w14:paraId="75CFE7A4">
            <w:pPr>
              <w:widowControl/>
              <w:spacing w:line="300" w:lineRule="exact"/>
              <w:rPr>
                <w:rFonts w:hint="default" w:ascii="Times New Roman" w:hAnsi="Times New Roman" w:eastAsia="仿宋_GB2312" w:cs="Times New Roman"/>
                <w:bCs/>
                <w:color w:val="auto"/>
                <w:kern w:val="0"/>
                <w:szCs w:val="21"/>
              </w:rPr>
            </w:pPr>
          </w:p>
        </w:tc>
      </w:tr>
      <w:tr w14:paraId="57636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34AC650">
            <w:pPr>
              <w:widowControl/>
              <w:spacing w:line="300" w:lineRule="exact"/>
              <w:rPr>
                <w:rFonts w:hint="default" w:ascii="Times New Roman" w:hAnsi="Times New Roman" w:eastAsia="仿宋_GB2312" w:cs="Times New Roman"/>
                <w:color w:val="auto"/>
                <w:kern w:val="0"/>
                <w:szCs w:val="21"/>
                <w:highlight w:val="green"/>
              </w:rPr>
            </w:pPr>
            <w:r>
              <w:rPr>
                <w:rFonts w:hint="default" w:ascii="Times New Roman" w:hAnsi="Times New Roman" w:eastAsia="仿宋_GB2312" w:cs="Times New Roman"/>
                <w:color w:val="auto"/>
                <w:szCs w:val="21"/>
                <w:highlight w:val="green"/>
              </w:rPr>
              <w:t>6.1.3</w:t>
            </w:r>
          </w:p>
        </w:tc>
        <w:tc>
          <w:tcPr>
            <w:tcW w:w="3703" w:type="dxa"/>
            <w:tcMar>
              <w:left w:w="45" w:type="dxa"/>
              <w:right w:w="45" w:type="dxa"/>
            </w:tcMar>
            <w:vAlign w:val="center"/>
          </w:tcPr>
          <w:p w14:paraId="46A6E33F">
            <w:pPr>
              <w:widowControl/>
              <w:spacing w:line="300" w:lineRule="exact"/>
              <w:rPr>
                <w:rFonts w:hint="default" w:ascii="Times New Roman" w:hAnsi="Times New Roman" w:eastAsia="仿宋_GB2312" w:cs="Times New Roman"/>
                <w:color w:val="auto"/>
                <w:kern w:val="0"/>
                <w:szCs w:val="21"/>
                <w:highlight w:val="green"/>
              </w:rPr>
            </w:pPr>
            <w:r>
              <w:rPr>
                <w:rFonts w:hint="default" w:ascii="Times New Roman" w:hAnsi="Times New Roman" w:eastAsia="仿宋_GB2312" w:cs="Times New Roman"/>
                <w:color w:val="auto"/>
                <w:szCs w:val="21"/>
                <w:highlight w:val="green"/>
              </w:rPr>
              <w:t>消防通道通畅</w:t>
            </w:r>
          </w:p>
        </w:tc>
        <w:tc>
          <w:tcPr>
            <w:tcW w:w="7777" w:type="dxa"/>
            <w:tcMar>
              <w:left w:w="45" w:type="dxa"/>
              <w:right w:w="45" w:type="dxa"/>
            </w:tcMar>
            <w:vAlign w:val="center"/>
          </w:tcPr>
          <w:p w14:paraId="0B68CF37">
            <w:pPr>
              <w:widowControl/>
              <w:spacing w:line="300" w:lineRule="exact"/>
              <w:rPr>
                <w:rFonts w:hint="default" w:ascii="Times New Roman" w:hAnsi="Times New Roman" w:eastAsia="仿宋_GB2312" w:cs="Times New Roman"/>
                <w:bCs/>
                <w:color w:val="auto"/>
                <w:kern w:val="0"/>
                <w:szCs w:val="21"/>
                <w:highlight w:val="green"/>
              </w:rPr>
            </w:pPr>
            <w:r>
              <w:rPr>
                <w:rFonts w:hint="default" w:ascii="Times New Roman" w:hAnsi="Times New Roman" w:eastAsia="仿宋_GB2312" w:cs="Times New Roman"/>
                <w:bCs/>
                <w:color w:val="auto"/>
                <w:szCs w:val="21"/>
                <w:highlight w:val="green"/>
              </w:rPr>
              <w:t>（52）保持实验室消防通道通畅</w:t>
            </w:r>
            <w:r>
              <w:rPr>
                <w:rFonts w:hint="default" w:ascii="Times New Roman" w:hAnsi="Times New Roman" w:eastAsia="仿宋_GB2312" w:cs="Times New Roman"/>
                <w:color w:val="auto"/>
                <w:szCs w:val="21"/>
                <w:highlight w:val="green"/>
              </w:rPr>
              <w:t>，公共区域不堆放仪器和物品</w:t>
            </w:r>
          </w:p>
        </w:tc>
        <w:tc>
          <w:tcPr>
            <w:tcW w:w="2543" w:type="dxa"/>
            <w:tcMar>
              <w:left w:w="45" w:type="dxa"/>
              <w:right w:w="45" w:type="dxa"/>
            </w:tcMar>
            <w:vAlign w:val="center"/>
          </w:tcPr>
          <w:p w14:paraId="4EE236F7">
            <w:pPr>
              <w:widowControl/>
              <w:spacing w:line="300" w:lineRule="exact"/>
              <w:rPr>
                <w:rFonts w:hint="default" w:ascii="Times New Roman" w:hAnsi="Times New Roman" w:eastAsia="仿宋_GB2312" w:cs="Times New Roman"/>
                <w:bCs/>
                <w:color w:val="auto"/>
                <w:kern w:val="0"/>
                <w:szCs w:val="21"/>
              </w:rPr>
            </w:pPr>
          </w:p>
        </w:tc>
      </w:tr>
      <w:tr w14:paraId="7B07E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C88B8BC">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6.1.4</w:t>
            </w:r>
          </w:p>
        </w:tc>
        <w:tc>
          <w:tcPr>
            <w:tcW w:w="3703" w:type="dxa"/>
            <w:tcMar>
              <w:left w:w="45" w:type="dxa"/>
              <w:right w:w="45" w:type="dxa"/>
            </w:tcMar>
            <w:vAlign w:val="center"/>
          </w:tcPr>
          <w:p w14:paraId="4423BBF8">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实验室建设和装修应符合消防安全要求</w:t>
            </w:r>
          </w:p>
        </w:tc>
        <w:tc>
          <w:tcPr>
            <w:tcW w:w="7777" w:type="dxa"/>
            <w:tcMar>
              <w:left w:w="45" w:type="dxa"/>
              <w:right w:w="45" w:type="dxa"/>
            </w:tcMar>
            <w:vAlign w:val="center"/>
          </w:tcPr>
          <w:p w14:paraId="29EEF15C">
            <w:pPr>
              <w:widowControl/>
              <w:spacing w:line="300" w:lineRule="exact"/>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（53）实验操作台应选用合格的防火、耐腐蚀材料。</w:t>
            </w:r>
          </w:p>
          <w:p w14:paraId="4EAE2F36">
            <w:pPr>
              <w:widowControl/>
              <w:spacing w:line="300" w:lineRule="exact"/>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（54）仪器设备安装符合建筑物承重荷载要求。</w:t>
            </w:r>
          </w:p>
          <w:p w14:paraId="0B560DD3">
            <w:pPr>
              <w:widowControl/>
              <w:spacing w:line="300" w:lineRule="exact"/>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（55）有可燃气体的实验室不设吊顶。</w:t>
            </w:r>
          </w:p>
          <w:p w14:paraId="7F5D1E02">
            <w:pPr>
              <w:widowControl/>
              <w:spacing w:line="300" w:lineRule="exact"/>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（56）不用的配电箱、插座、水管水龙头、网线、气体管路等，应及时拆除或封闭。</w:t>
            </w:r>
          </w:p>
          <w:p w14:paraId="32552212">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szCs w:val="21"/>
              </w:rPr>
              <w:t>（57）实验室门上有观察窗，外开门不阻挡逃生路径</w:t>
            </w:r>
          </w:p>
        </w:tc>
        <w:tc>
          <w:tcPr>
            <w:tcW w:w="2543" w:type="dxa"/>
            <w:tcMar>
              <w:left w:w="45" w:type="dxa"/>
              <w:right w:w="45" w:type="dxa"/>
            </w:tcMar>
            <w:vAlign w:val="center"/>
          </w:tcPr>
          <w:p w14:paraId="0708E362">
            <w:pPr>
              <w:widowControl/>
              <w:spacing w:line="300" w:lineRule="exact"/>
              <w:rPr>
                <w:rFonts w:hint="default" w:ascii="Times New Roman" w:hAnsi="Times New Roman" w:eastAsia="仿宋_GB2312" w:cs="Times New Roman"/>
                <w:bCs/>
                <w:color w:val="auto"/>
                <w:kern w:val="0"/>
                <w:szCs w:val="21"/>
              </w:rPr>
            </w:pPr>
          </w:p>
        </w:tc>
      </w:tr>
      <w:tr w14:paraId="499A0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A458067">
            <w:pPr>
              <w:widowControl/>
              <w:spacing w:line="300" w:lineRule="exact"/>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6.1.5</w:t>
            </w:r>
          </w:p>
        </w:tc>
        <w:tc>
          <w:tcPr>
            <w:tcW w:w="3703" w:type="dxa"/>
            <w:tcMar>
              <w:left w:w="45" w:type="dxa"/>
              <w:right w:w="45" w:type="dxa"/>
            </w:tcMar>
            <w:vAlign w:val="center"/>
          </w:tcPr>
          <w:p w14:paraId="575BFB75">
            <w:pPr>
              <w:widowControl/>
              <w:spacing w:line="300" w:lineRule="exact"/>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实验室所有房间均须配有应急备用钥匙</w:t>
            </w:r>
          </w:p>
        </w:tc>
        <w:tc>
          <w:tcPr>
            <w:tcW w:w="7777" w:type="dxa"/>
            <w:tcMar>
              <w:left w:w="45" w:type="dxa"/>
              <w:right w:w="45" w:type="dxa"/>
            </w:tcMar>
            <w:vAlign w:val="center"/>
          </w:tcPr>
          <w:p w14:paraId="7ECAA412">
            <w:pPr>
              <w:widowControl/>
              <w:spacing w:line="300" w:lineRule="exact"/>
              <w:rPr>
                <w:rFonts w:hint="default" w:ascii="Times New Roman" w:hAnsi="Times New Roman" w:eastAsia="仿宋_GB2312" w:cs="Times New Roman"/>
                <w:bCs/>
                <w:color w:val="auto"/>
                <w:szCs w:val="21"/>
              </w:rPr>
            </w:pPr>
            <w:r>
              <w:rPr>
                <w:rFonts w:hint="default" w:ascii="Times New Roman" w:hAnsi="Times New Roman" w:eastAsia="仿宋_GB2312" w:cs="Times New Roman"/>
                <w:color w:val="auto"/>
                <w:szCs w:val="21"/>
              </w:rPr>
              <w:t>（58）应急备用钥匙须集中存放、统一管理，应急时方便取用</w:t>
            </w:r>
          </w:p>
        </w:tc>
        <w:tc>
          <w:tcPr>
            <w:tcW w:w="2543" w:type="dxa"/>
            <w:tcMar>
              <w:left w:w="45" w:type="dxa"/>
              <w:right w:w="45" w:type="dxa"/>
            </w:tcMar>
            <w:vAlign w:val="center"/>
          </w:tcPr>
          <w:p w14:paraId="3F054E4F">
            <w:pPr>
              <w:widowControl/>
              <w:spacing w:line="300" w:lineRule="exact"/>
              <w:rPr>
                <w:rFonts w:hint="default" w:ascii="Times New Roman" w:hAnsi="Times New Roman" w:eastAsia="仿宋_GB2312" w:cs="Times New Roman"/>
                <w:bCs/>
                <w:color w:val="auto"/>
                <w:szCs w:val="21"/>
              </w:rPr>
            </w:pPr>
          </w:p>
        </w:tc>
      </w:tr>
      <w:tr w14:paraId="3AC6F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5BD2503">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6.1.6</w:t>
            </w:r>
          </w:p>
        </w:tc>
        <w:tc>
          <w:tcPr>
            <w:tcW w:w="3703" w:type="dxa"/>
            <w:tcMar>
              <w:left w:w="45" w:type="dxa"/>
              <w:right w:w="45" w:type="dxa"/>
            </w:tcMar>
            <w:vAlign w:val="center"/>
          </w:tcPr>
          <w:p w14:paraId="3441B1CB">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实验设备须做好振动减振、电磁屏蔽和降噪</w:t>
            </w:r>
          </w:p>
        </w:tc>
        <w:tc>
          <w:tcPr>
            <w:tcW w:w="7777" w:type="dxa"/>
            <w:tcMar>
              <w:left w:w="45" w:type="dxa"/>
              <w:right w:w="45" w:type="dxa"/>
            </w:tcMar>
            <w:vAlign w:val="center"/>
          </w:tcPr>
          <w:p w14:paraId="574E7A15">
            <w:pPr>
              <w:widowControl/>
              <w:spacing w:line="300" w:lineRule="exact"/>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（59）容易产生振动的设备，须考虑采取合理的减振措施。</w:t>
            </w:r>
          </w:p>
          <w:p w14:paraId="78AE6073">
            <w:pPr>
              <w:widowControl/>
              <w:spacing w:line="300" w:lineRule="exact"/>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（60）易对外产生磁场或易受磁场干扰的设备，须做好磁屏蔽。</w:t>
            </w:r>
          </w:p>
          <w:p w14:paraId="54B72066">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szCs w:val="21"/>
              </w:rPr>
              <w:t>（61）实验室噪声一般不高于55分贝（机械设备不高于70分贝）</w:t>
            </w:r>
          </w:p>
        </w:tc>
        <w:tc>
          <w:tcPr>
            <w:tcW w:w="2543" w:type="dxa"/>
            <w:tcMar>
              <w:left w:w="45" w:type="dxa"/>
              <w:right w:w="45" w:type="dxa"/>
            </w:tcMar>
            <w:vAlign w:val="center"/>
          </w:tcPr>
          <w:p w14:paraId="1062D661">
            <w:pPr>
              <w:widowControl/>
              <w:spacing w:line="300" w:lineRule="exact"/>
              <w:rPr>
                <w:rFonts w:hint="default" w:ascii="Times New Roman" w:hAnsi="Times New Roman" w:eastAsia="仿宋_GB2312" w:cs="Times New Roman"/>
                <w:bCs/>
                <w:color w:val="auto"/>
                <w:kern w:val="0"/>
                <w:szCs w:val="21"/>
              </w:rPr>
            </w:pPr>
          </w:p>
        </w:tc>
      </w:tr>
      <w:tr w14:paraId="4B8EF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EA12F3E">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6.1.7</w:t>
            </w:r>
          </w:p>
        </w:tc>
        <w:tc>
          <w:tcPr>
            <w:tcW w:w="3703" w:type="dxa"/>
            <w:tcMar>
              <w:left w:w="45" w:type="dxa"/>
              <w:right w:w="45" w:type="dxa"/>
            </w:tcMar>
            <w:vAlign w:val="center"/>
          </w:tcPr>
          <w:p w14:paraId="089E66CC">
            <w:pPr>
              <w:spacing w:line="300" w:lineRule="exact"/>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实验室水、电、气管线布局合理，安装施工规范</w:t>
            </w:r>
          </w:p>
        </w:tc>
        <w:tc>
          <w:tcPr>
            <w:tcW w:w="7777" w:type="dxa"/>
            <w:tcMar>
              <w:left w:w="45" w:type="dxa"/>
              <w:right w:w="45" w:type="dxa"/>
            </w:tcMar>
            <w:vAlign w:val="center"/>
          </w:tcPr>
          <w:p w14:paraId="3FDA4A98">
            <w:pPr>
              <w:widowControl/>
              <w:spacing w:line="300" w:lineRule="exact"/>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（62）水、电、气管线布局先规划、后施工，充分考虑安全性、功能性、可维护性和扩展性。</w:t>
            </w:r>
          </w:p>
          <w:p w14:paraId="346C82AF">
            <w:pPr>
              <w:spacing w:line="300" w:lineRule="exact"/>
              <w:rPr>
                <w:rFonts w:hint="default" w:ascii="Times New Roman" w:hAnsi="Times New Roman" w:eastAsia="仿宋_GB2312" w:cs="Times New Roman"/>
                <w:color w:val="auto"/>
                <w:szCs w:val="21"/>
              </w:rPr>
            </w:pPr>
            <w:r>
              <w:rPr>
                <w:rFonts w:hint="default" w:ascii="Times New Roman" w:hAnsi="Times New Roman" w:eastAsia="仿宋_GB2312" w:cs="Times New Roman"/>
                <w:bCs/>
                <w:color w:val="auto"/>
                <w:szCs w:val="21"/>
              </w:rPr>
              <w:t>（63）</w:t>
            </w:r>
            <w:r>
              <w:rPr>
                <w:rFonts w:hint="default" w:ascii="Times New Roman" w:hAnsi="Times New Roman" w:eastAsia="仿宋_GB2312" w:cs="Times New Roman"/>
                <w:color w:val="auto"/>
                <w:szCs w:val="21"/>
              </w:rPr>
              <w:t>高温、明火设备放置位置与气体管道有安全间隔距离。</w:t>
            </w:r>
          </w:p>
          <w:p w14:paraId="41DE48C5">
            <w:pPr>
              <w:spacing w:line="300" w:lineRule="exact"/>
              <w:rPr>
                <w:rFonts w:hint="default" w:ascii="Times New Roman" w:hAnsi="Times New Roman" w:eastAsia="仿宋_GB2312" w:cs="Times New Roman"/>
                <w:bCs/>
                <w:color w:val="auto"/>
                <w:szCs w:val="21"/>
              </w:rPr>
            </w:pPr>
            <w:r>
              <w:rPr>
                <w:rFonts w:hint="default" w:ascii="Times New Roman" w:hAnsi="Times New Roman" w:eastAsia="仿宋_GB2312" w:cs="Times New Roman"/>
                <w:color w:val="auto"/>
                <w:szCs w:val="21"/>
              </w:rPr>
              <w:t>（64）</w:t>
            </w:r>
            <w:r>
              <w:rPr>
                <w:rFonts w:hint="default" w:ascii="Times New Roman" w:hAnsi="Times New Roman" w:eastAsia="仿宋_GB2312" w:cs="Times New Roman"/>
                <w:b/>
                <w:bCs/>
                <w:color w:val="auto"/>
                <w:szCs w:val="21"/>
              </w:rPr>
              <w:t>实验室改造工程应经过审批后实施</w:t>
            </w:r>
          </w:p>
        </w:tc>
        <w:tc>
          <w:tcPr>
            <w:tcW w:w="2543" w:type="dxa"/>
            <w:tcMar>
              <w:left w:w="45" w:type="dxa"/>
              <w:right w:w="45" w:type="dxa"/>
            </w:tcMar>
            <w:vAlign w:val="center"/>
          </w:tcPr>
          <w:p w14:paraId="079A7534">
            <w:pPr>
              <w:widowControl/>
              <w:spacing w:line="300" w:lineRule="exact"/>
              <w:rPr>
                <w:rFonts w:hint="default" w:ascii="Times New Roman" w:hAnsi="Times New Roman" w:eastAsia="仿宋_GB2312" w:cs="Times New Roman"/>
                <w:bCs/>
                <w:color w:val="auto"/>
                <w:szCs w:val="21"/>
              </w:rPr>
            </w:pPr>
          </w:p>
        </w:tc>
      </w:tr>
      <w:tr w14:paraId="184B4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5E22219">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6.2</w:t>
            </w:r>
          </w:p>
        </w:tc>
        <w:tc>
          <w:tcPr>
            <w:tcW w:w="14023" w:type="dxa"/>
            <w:gridSpan w:val="3"/>
            <w:tcMar>
              <w:left w:w="45" w:type="dxa"/>
              <w:right w:w="45" w:type="dxa"/>
            </w:tcMar>
            <w:vAlign w:val="center"/>
          </w:tcPr>
          <w:p w14:paraId="0F42FF5D">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卫生与日常管理</w:t>
            </w:r>
          </w:p>
        </w:tc>
      </w:tr>
      <w:tr w14:paraId="22CD1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A7A2E06">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6.2.1</w:t>
            </w:r>
          </w:p>
        </w:tc>
        <w:tc>
          <w:tcPr>
            <w:tcW w:w="3703" w:type="dxa"/>
            <w:tcMar>
              <w:left w:w="45" w:type="dxa"/>
              <w:right w:w="45" w:type="dxa"/>
            </w:tcMar>
            <w:vAlign w:val="center"/>
          </w:tcPr>
          <w:p w14:paraId="5C445BDE">
            <w:pPr>
              <w:spacing w:line="300" w:lineRule="exact"/>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实验室分区应相对独立，布局合理</w:t>
            </w:r>
          </w:p>
        </w:tc>
        <w:tc>
          <w:tcPr>
            <w:tcW w:w="7777" w:type="dxa"/>
            <w:tcMar>
              <w:left w:w="45" w:type="dxa"/>
              <w:right w:w="45" w:type="dxa"/>
            </w:tcMar>
            <w:vAlign w:val="center"/>
          </w:tcPr>
          <w:p w14:paraId="45853C9F">
            <w:pPr>
              <w:spacing w:line="300" w:lineRule="exact"/>
              <w:rPr>
                <w:rFonts w:hint="default" w:ascii="Times New Roman" w:hAnsi="Times New Roman" w:eastAsia="仿宋_GB2312" w:cs="Times New Roman"/>
                <w:bCs/>
                <w:color w:val="auto"/>
                <w:szCs w:val="21"/>
              </w:rPr>
            </w:pPr>
            <w:r>
              <w:rPr>
                <w:rFonts w:hint="default" w:ascii="Times New Roman" w:hAnsi="Times New Roman" w:eastAsia="仿宋_GB2312" w:cs="Times New Roman"/>
                <w:color w:val="auto"/>
                <w:szCs w:val="21"/>
              </w:rPr>
              <w:t>（65）有毒有害实验区与学习区明确分开，合理布局，重点关注化学、生物、辐射、激光等类别实验室。如部分区域分区不明显，现场查看有毒有害物质的管理须对工作环境无健康危害</w:t>
            </w:r>
          </w:p>
        </w:tc>
        <w:tc>
          <w:tcPr>
            <w:tcW w:w="2543" w:type="dxa"/>
            <w:tcMar>
              <w:left w:w="45" w:type="dxa"/>
              <w:right w:w="45" w:type="dxa"/>
            </w:tcMar>
            <w:vAlign w:val="center"/>
          </w:tcPr>
          <w:p w14:paraId="23738BF6">
            <w:pPr>
              <w:spacing w:line="300" w:lineRule="exact"/>
              <w:rPr>
                <w:rFonts w:hint="default" w:ascii="Times New Roman" w:hAnsi="Times New Roman" w:eastAsia="仿宋_GB2312" w:cs="Times New Roman"/>
                <w:bCs/>
                <w:color w:val="auto"/>
                <w:szCs w:val="21"/>
              </w:rPr>
            </w:pPr>
          </w:p>
        </w:tc>
      </w:tr>
      <w:tr w14:paraId="31F02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18F1000">
            <w:pPr>
              <w:spacing w:line="300" w:lineRule="exact"/>
              <w:rPr>
                <w:rFonts w:hint="default" w:ascii="Times New Roman" w:hAnsi="Times New Roman" w:eastAsia="仿宋_GB2312" w:cs="Times New Roman"/>
                <w:color w:val="auto"/>
                <w:szCs w:val="21"/>
                <w:highlight w:val="green"/>
              </w:rPr>
            </w:pPr>
            <w:r>
              <w:rPr>
                <w:rFonts w:hint="default" w:ascii="Times New Roman" w:hAnsi="Times New Roman" w:eastAsia="仿宋_GB2312" w:cs="Times New Roman"/>
                <w:color w:val="auto"/>
                <w:szCs w:val="21"/>
                <w:highlight w:val="green"/>
              </w:rPr>
              <w:t>6.2.2</w:t>
            </w:r>
          </w:p>
        </w:tc>
        <w:tc>
          <w:tcPr>
            <w:tcW w:w="3703" w:type="dxa"/>
            <w:tcMar>
              <w:left w:w="45" w:type="dxa"/>
              <w:right w:w="45" w:type="dxa"/>
            </w:tcMar>
            <w:vAlign w:val="center"/>
          </w:tcPr>
          <w:p w14:paraId="5865AD49">
            <w:pPr>
              <w:spacing w:line="300" w:lineRule="exact"/>
              <w:rPr>
                <w:rFonts w:hint="default" w:ascii="Times New Roman" w:hAnsi="Times New Roman" w:eastAsia="仿宋_GB2312" w:cs="Times New Roman"/>
                <w:color w:val="auto"/>
                <w:szCs w:val="21"/>
                <w:highlight w:val="green"/>
              </w:rPr>
            </w:pPr>
            <w:r>
              <w:rPr>
                <w:rFonts w:hint="default" w:ascii="Times New Roman" w:hAnsi="Times New Roman" w:eastAsia="仿宋_GB2312" w:cs="Times New Roman"/>
                <w:bCs/>
                <w:color w:val="auto"/>
                <w:szCs w:val="21"/>
                <w:highlight w:val="green"/>
              </w:rPr>
              <w:t>实验室环境应整洁卫生有序</w:t>
            </w:r>
          </w:p>
        </w:tc>
        <w:tc>
          <w:tcPr>
            <w:tcW w:w="7777" w:type="dxa"/>
            <w:tcMar>
              <w:left w:w="45" w:type="dxa"/>
              <w:right w:w="45" w:type="dxa"/>
            </w:tcMar>
            <w:vAlign w:val="center"/>
          </w:tcPr>
          <w:p w14:paraId="4FB5A8D4">
            <w:pPr>
              <w:spacing w:line="300" w:lineRule="exact"/>
              <w:rPr>
                <w:rFonts w:hint="default" w:ascii="Times New Roman" w:hAnsi="Times New Roman" w:eastAsia="仿宋_GB2312" w:cs="Times New Roman"/>
                <w:color w:val="auto"/>
                <w:szCs w:val="21"/>
                <w:highlight w:val="green"/>
              </w:rPr>
            </w:pPr>
            <w:r>
              <w:rPr>
                <w:rFonts w:hint="default" w:ascii="Times New Roman" w:hAnsi="Times New Roman" w:eastAsia="仿宋_GB2312" w:cs="Times New Roman"/>
                <w:color w:val="auto"/>
                <w:szCs w:val="21"/>
                <w:highlight w:val="green"/>
              </w:rPr>
              <w:t>（66）实验室物品摆放有序，卫生状况良好，实验完毕物品归位，无废弃物品、不放无关物品。</w:t>
            </w:r>
          </w:p>
          <w:p w14:paraId="071AA8A8">
            <w:pPr>
              <w:spacing w:line="300" w:lineRule="exact"/>
              <w:rPr>
                <w:rFonts w:hint="default" w:ascii="Times New Roman" w:hAnsi="Times New Roman" w:eastAsia="仿宋_GB2312" w:cs="Times New Roman"/>
                <w:bCs/>
                <w:color w:val="auto"/>
                <w:szCs w:val="21"/>
                <w:highlight w:val="green"/>
              </w:rPr>
            </w:pPr>
            <w:r>
              <w:rPr>
                <w:rFonts w:hint="default" w:ascii="Times New Roman" w:hAnsi="Times New Roman" w:eastAsia="仿宋_GB2312" w:cs="Times New Roman"/>
                <w:color w:val="auto"/>
                <w:szCs w:val="21"/>
                <w:highlight w:val="green"/>
              </w:rPr>
              <w:t>（67）</w:t>
            </w:r>
            <w:r>
              <w:rPr>
                <w:rFonts w:hint="default" w:ascii="Times New Roman" w:hAnsi="Times New Roman" w:eastAsia="仿宋_GB2312" w:cs="Times New Roman"/>
                <w:color w:val="auto"/>
                <w:kern w:val="0"/>
                <w:szCs w:val="21"/>
                <w:highlight w:val="green"/>
              </w:rPr>
              <w:t>不在实验室睡觉，不存放和烧煮食物、饮食，禁止吸烟，不使用可燃性蚊香</w:t>
            </w:r>
          </w:p>
        </w:tc>
        <w:tc>
          <w:tcPr>
            <w:tcW w:w="2543" w:type="dxa"/>
            <w:tcMar>
              <w:left w:w="45" w:type="dxa"/>
              <w:right w:w="45" w:type="dxa"/>
            </w:tcMar>
            <w:vAlign w:val="center"/>
          </w:tcPr>
          <w:p w14:paraId="24C4EE21">
            <w:pPr>
              <w:spacing w:line="300" w:lineRule="exact"/>
              <w:rPr>
                <w:rFonts w:hint="default" w:ascii="Times New Roman" w:hAnsi="Times New Roman" w:eastAsia="仿宋_GB2312" w:cs="Times New Roman"/>
                <w:bCs/>
                <w:color w:val="auto"/>
                <w:szCs w:val="21"/>
              </w:rPr>
            </w:pPr>
          </w:p>
        </w:tc>
      </w:tr>
      <w:tr w14:paraId="3295A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5B61ABE">
            <w:pPr>
              <w:spacing w:line="300" w:lineRule="exact"/>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6.2.3</w:t>
            </w:r>
          </w:p>
        </w:tc>
        <w:tc>
          <w:tcPr>
            <w:tcW w:w="3703" w:type="dxa"/>
            <w:tcMar>
              <w:left w:w="45" w:type="dxa"/>
              <w:right w:w="45" w:type="dxa"/>
            </w:tcMar>
            <w:vAlign w:val="center"/>
          </w:tcPr>
          <w:p w14:paraId="162CD559">
            <w:pPr>
              <w:spacing w:line="300" w:lineRule="exact"/>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实验室有卫生安全制度</w:t>
            </w:r>
          </w:p>
        </w:tc>
        <w:tc>
          <w:tcPr>
            <w:tcW w:w="7777" w:type="dxa"/>
            <w:tcMar>
              <w:left w:w="45" w:type="dxa"/>
              <w:right w:w="45" w:type="dxa"/>
            </w:tcMar>
            <w:vAlign w:val="center"/>
          </w:tcPr>
          <w:p w14:paraId="51018781">
            <w:pPr>
              <w:spacing w:line="300" w:lineRule="exact"/>
              <w:rPr>
                <w:rFonts w:hint="default" w:ascii="Times New Roman" w:hAnsi="Times New Roman" w:eastAsia="仿宋_GB2312" w:cs="Times New Roman"/>
                <w:bCs/>
                <w:color w:val="auto"/>
                <w:szCs w:val="21"/>
              </w:rPr>
            </w:pPr>
            <w:r>
              <w:rPr>
                <w:rFonts w:hint="default" w:ascii="Times New Roman" w:hAnsi="Times New Roman" w:eastAsia="仿宋_GB2312" w:cs="Times New Roman"/>
                <w:color w:val="auto"/>
                <w:kern w:val="0"/>
                <w:szCs w:val="21"/>
              </w:rPr>
              <w:t>（68）实验期间有记录</w:t>
            </w:r>
          </w:p>
        </w:tc>
        <w:tc>
          <w:tcPr>
            <w:tcW w:w="2543" w:type="dxa"/>
            <w:tcMar>
              <w:left w:w="45" w:type="dxa"/>
              <w:right w:w="45" w:type="dxa"/>
            </w:tcMar>
            <w:vAlign w:val="center"/>
          </w:tcPr>
          <w:p w14:paraId="42B84757">
            <w:pPr>
              <w:spacing w:line="300" w:lineRule="exact"/>
              <w:rPr>
                <w:rFonts w:hint="default" w:ascii="Times New Roman" w:hAnsi="Times New Roman" w:eastAsia="仿宋_GB2312" w:cs="Times New Roman"/>
                <w:bCs/>
                <w:color w:val="auto"/>
                <w:szCs w:val="21"/>
              </w:rPr>
            </w:pPr>
          </w:p>
        </w:tc>
      </w:tr>
      <w:tr w14:paraId="5ECBF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26F074E">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6.3</w:t>
            </w:r>
          </w:p>
        </w:tc>
        <w:tc>
          <w:tcPr>
            <w:tcW w:w="14023" w:type="dxa"/>
            <w:gridSpan w:val="3"/>
            <w:tcMar>
              <w:left w:w="45" w:type="dxa"/>
              <w:right w:w="45" w:type="dxa"/>
            </w:tcMar>
            <w:vAlign w:val="center"/>
          </w:tcPr>
          <w:p w14:paraId="68780104">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场所其他安全</w:t>
            </w:r>
          </w:p>
        </w:tc>
      </w:tr>
      <w:tr w14:paraId="7854C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155219E">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6.3.1</w:t>
            </w:r>
          </w:p>
        </w:tc>
        <w:tc>
          <w:tcPr>
            <w:tcW w:w="3703" w:type="dxa"/>
            <w:tcMar>
              <w:left w:w="45" w:type="dxa"/>
              <w:right w:w="45" w:type="dxa"/>
            </w:tcMar>
            <w:vAlign w:val="center"/>
          </w:tcPr>
          <w:p w14:paraId="49F786EF">
            <w:pPr>
              <w:spacing w:line="300" w:lineRule="exact"/>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rPr>
              <w:t>每间实验室均有编号并登记造册</w:t>
            </w:r>
          </w:p>
        </w:tc>
        <w:tc>
          <w:tcPr>
            <w:tcW w:w="7777" w:type="dxa"/>
            <w:tcMar>
              <w:left w:w="45" w:type="dxa"/>
              <w:right w:w="45" w:type="dxa"/>
            </w:tcMar>
            <w:vAlign w:val="center"/>
          </w:tcPr>
          <w:p w14:paraId="3800652D">
            <w:pPr>
              <w:spacing w:line="300" w:lineRule="exact"/>
              <w:rPr>
                <w:rFonts w:hint="default" w:ascii="Times New Roman" w:hAnsi="Times New Roman" w:eastAsia="仿宋_GB2312" w:cs="Times New Roman"/>
                <w:bCs/>
                <w:color w:val="auto"/>
                <w:szCs w:val="21"/>
              </w:rPr>
            </w:pPr>
            <w:r>
              <w:rPr>
                <w:rFonts w:hint="default" w:ascii="Times New Roman" w:hAnsi="Times New Roman" w:eastAsia="仿宋_GB2312" w:cs="Times New Roman"/>
                <w:bCs/>
                <w:color w:val="auto"/>
                <w:szCs w:val="21"/>
              </w:rPr>
              <w:t>（69）现场查看门牌，查阅档案</w:t>
            </w:r>
          </w:p>
        </w:tc>
        <w:tc>
          <w:tcPr>
            <w:tcW w:w="2543" w:type="dxa"/>
            <w:tcMar>
              <w:left w:w="45" w:type="dxa"/>
              <w:right w:w="45" w:type="dxa"/>
            </w:tcMar>
            <w:vAlign w:val="center"/>
          </w:tcPr>
          <w:p w14:paraId="02364DD6">
            <w:pPr>
              <w:widowControl/>
              <w:spacing w:line="300" w:lineRule="exact"/>
              <w:rPr>
                <w:rFonts w:hint="default" w:ascii="Times New Roman" w:hAnsi="Times New Roman" w:eastAsia="仿宋_GB2312" w:cs="Times New Roman"/>
                <w:bCs/>
                <w:color w:val="auto"/>
                <w:szCs w:val="21"/>
              </w:rPr>
            </w:pPr>
          </w:p>
        </w:tc>
      </w:tr>
      <w:tr w14:paraId="0811E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65A18C8">
            <w:pPr>
              <w:spacing w:line="300" w:lineRule="exact"/>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6.3.2</w:t>
            </w:r>
          </w:p>
        </w:tc>
        <w:tc>
          <w:tcPr>
            <w:tcW w:w="3703" w:type="dxa"/>
            <w:tcMar>
              <w:left w:w="45" w:type="dxa"/>
              <w:right w:w="45" w:type="dxa"/>
            </w:tcMar>
            <w:vAlign w:val="center"/>
          </w:tcPr>
          <w:p w14:paraId="2975AD1D">
            <w:pPr>
              <w:spacing w:line="300" w:lineRule="exact"/>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危险性实验室应配备急救物品</w:t>
            </w:r>
          </w:p>
        </w:tc>
        <w:tc>
          <w:tcPr>
            <w:tcW w:w="7777" w:type="dxa"/>
            <w:tcMar>
              <w:left w:w="45" w:type="dxa"/>
              <w:right w:w="45" w:type="dxa"/>
            </w:tcMar>
            <w:vAlign w:val="center"/>
          </w:tcPr>
          <w:p w14:paraId="227F0010">
            <w:pPr>
              <w:spacing w:line="300" w:lineRule="exact"/>
              <w:rPr>
                <w:rFonts w:hint="default" w:ascii="Times New Roman" w:hAnsi="Times New Roman" w:eastAsia="仿宋_GB2312" w:cs="Times New Roman"/>
                <w:bCs/>
                <w:color w:val="auto"/>
                <w:szCs w:val="21"/>
              </w:rPr>
            </w:pPr>
            <w:r>
              <w:rPr>
                <w:rFonts w:hint="default" w:ascii="Times New Roman" w:hAnsi="Times New Roman" w:eastAsia="仿宋_GB2312" w:cs="Times New Roman"/>
                <w:color w:val="auto"/>
                <w:szCs w:val="21"/>
              </w:rPr>
              <w:t>（70）配备的急救箱不得上锁，并定期检查物品是否在保质期内</w:t>
            </w:r>
          </w:p>
        </w:tc>
        <w:tc>
          <w:tcPr>
            <w:tcW w:w="2543" w:type="dxa"/>
            <w:tcMar>
              <w:left w:w="45" w:type="dxa"/>
              <w:right w:w="45" w:type="dxa"/>
            </w:tcMar>
            <w:vAlign w:val="center"/>
          </w:tcPr>
          <w:p w14:paraId="7D322712">
            <w:pPr>
              <w:spacing w:line="300" w:lineRule="exact"/>
              <w:rPr>
                <w:rFonts w:hint="default" w:ascii="Times New Roman" w:hAnsi="Times New Roman" w:eastAsia="仿宋_GB2312" w:cs="Times New Roman"/>
                <w:bCs/>
                <w:color w:val="auto"/>
                <w:szCs w:val="21"/>
              </w:rPr>
            </w:pPr>
          </w:p>
        </w:tc>
      </w:tr>
      <w:tr w14:paraId="39E16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1A82602">
            <w:pPr>
              <w:spacing w:line="300" w:lineRule="exact"/>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6.3.3</w:t>
            </w:r>
          </w:p>
        </w:tc>
        <w:tc>
          <w:tcPr>
            <w:tcW w:w="3703" w:type="dxa"/>
            <w:tcMar>
              <w:left w:w="45" w:type="dxa"/>
              <w:right w:w="45" w:type="dxa"/>
            </w:tcMar>
            <w:vAlign w:val="center"/>
          </w:tcPr>
          <w:p w14:paraId="1AC6EF19">
            <w:pPr>
              <w:spacing w:line="300" w:lineRule="exact"/>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停用的实验室有安全防范措施和明显标识</w:t>
            </w:r>
          </w:p>
        </w:tc>
        <w:tc>
          <w:tcPr>
            <w:tcW w:w="7777" w:type="dxa"/>
            <w:tcMar>
              <w:left w:w="45" w:type="dxa"/>
              <w:right w:w="45" w:type="dxa"/>
            </w:tcMar>
            <w:vAlign w:val="center"/>
          </w:tcPr>
          <w:p w14:paraId="5CCF59C9">
            <w:pPr>
              <w:spacing w:line="300" w:lineRule="exact"/>
              <w:rPr>
                <w:rFonts w:hint="default" w:ascii="Times New Roman" w:hAnsi="Times New Roman" w:eastAsia="仿宋_GB2312" w:cs="Times New Roman"/>
                <w:bCs/>
                <w:color w:val="auto"/>
                <w:szCs w:val="21"/>
              </w:rPr>
            </w:pPr>
            <w:r>
              <w:rPr>
                <w:rFonts w:hint="default" w:ascii="Times New Roman" w:hAnsi="Times New Roman" w:eastAsia="仿宋_GB2312" w:cs="Times New Roman"/>
                <w:bCs/>
                <w:color w:val="auto"/>
                <w:szCs w:val="21"/>
              </w:rPr>
              <w:t>（71）查看现场</w:t>
            </w:r>
          </w:p>
        </w:tc>
        <w:tc>
          <w:tcPr>
            <w:tcW w:w="2543" w:type="dxa"/>
            <w:tcMar>
              <w:left w:w="45" w:type="dxa"/>
              <w:right w:w="45" w:type="dxa"/>
            </w:tcMar>
            <w:vAlign w:val="center"/>
          </w:tcPr>
          <w:p w14:paraId="19B46DB5">
            <w:pPr>
              <w:spacing w:line="300" w:lineRule="exact"/>
              <w:rPr>
                <w:rFonts w:hint="default" w:ascii="Times New Roman" w:hAnsi="Times New Roman" w:eastAsia="仿宋_GB2312" w:cs="Times New Roman"/>
                <w:bCs/>
                <w:color w:val="auto"/>
                <w:szCs w:val="21"/>
              </w:rPr>
            </w:pPr>
          </w:p>
        </w:tc>
      </w:tr>
      <w:tr w14:paraId="7260E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7EAE625">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7</w:t>
            </w:r>
          </w:p>
        </w:tc>
        <w:tc>
          <w:tcPr>
            <w:tcW w:w="14023" w:type="dxa"/>
            <w:gridSpan w:val="3"/>
            <w:tcMar>
              <w:left w:w="45" w:type="dxa"/>
              <w:right w:w="45" w:type="dxa"/>
            </w:tcMar>
            <w:vAlign w:val="center"/>
          </w:tcPr>
          <w:p w14:paraId="298BC713">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安全设施</w:t>
            </w:r>
          </w:p>
        </w:tc>
      </w:tr>
      <w:tr w14:paraId="60CA6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BC2ACEB">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7.1</w:t>
            </w:r>
          </w:p>
        </w:tc>
        <w:tc>
          <w:tcPr>
            <w:tcW w:w="14023" w:type="dxa"/>
            <w:gridSpan w:val="3"/>
            <w:tcMar>
              <w:left w:w="45" w:type="dxa"/>
              <w:right w:w="45" w:type="dxa"/>
            </w:tcMar>
            <w:vAlign w:val="center"/>
          </w:tcPr>
          <w:p w14:paraId="46706473">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消防设施</w:t>
            </w:r>
          </w:p>
        </w:tc>
      </w:tr>
      <w:tr w14:paraId="1C6FF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01D45C0">
            <w:pPr>
              <w:spacing w:line="300" w:lineRule="exact"/>
              <w:rPr>
                <w:rFonts w:hint="default" w:ascii="Times New Roman" w:hAnsi="Times New Roman" w:eastAsia="仿宋_GB2312" w:cs="Times New Roman"/>
                <w:color w:val="auto"/>
                <w:szCs w:val="21"/>
                <w:highlight w:val="green"/>
              </w:rPr>
            </w:pPr>
            <w:r>
              <w:rPr>
                <w:rFonts w:hint="default" w:ascii="Times New Roman" w:hAnsi="Times New Roman" w:eastAsia="仿宋_GB2312" w:cs="Times New Roman"/>
                <w:color w:val="auto"/>
                <w:szCs w:val="21"/>
                <w:highlight w:val="green"/>
              </w:rPr>
              <w:t>7.1.1</w:t>
            </w:r>
          </w:p>
        </w:tc>
        <w:tc>
          <w:tcPr>
            <w:tcW w:w="3703" w:type="dxa"/>
            <w:tcMar>
              <w:left w:w="45" w:type="dxa"/>
              <w:right w:w="45" w:type="dxa"/>
            </w:tcMar>
            <w:vAlign w:val="center"/>
          </w:tcPr>
          <w:p w14:paraId="0E09BF5A">
            <w:pPr>
              <w:widowControl/>
              <w:spacing w:line="300" w:lineRule="exact"/>
              <w:rPr>
                <w:rFonts w:hint="default" w:ascii="Times New Roman" w:hAnsi="Times New Roman" w:eastAsia="仿宋_GB2312" w:cs="Times New Roman"/>
                <w:color w:val="auto"/>
                <w:kern w:val="0"/>
                <w:szCs w:val="21"/>
                <w:highlight w:val="green"/>
              </w:rPr>
            </w:pPr>
            <w:r>
              <w:rPr>
                <w:rFonts w:hint="default" w:ascii="Times New Roman" w:hAnsi="Times New Roman" w:eastAsia="仿宋_GB2312" w:cs="Times New Roman"/>
                <w:color w:val="auto"/>
                <w:kern w:val="0"/>
                <w:szCs w:val="21"/>
                <w:highlight w:val="green"/>
              </w:rPr>
              <w:t>实验室应配备合适的灭火设备，并定期开展使用训练</w:t>
            </w:r>
          </w:p>
        </w:tc>
        <w:tc>
          <w:tcPr>
            <w:tcW w:w="7777" w:type="dxa"/>
            <w:tcMar>
              <w:left w:w="45" w:type="dxa"/>
              <w:right w:w="45" w:type="dxa"/>
            </w:tcMar>
            <w:vAlign w:val="center"/>
          </w:tcPr>
          <w:p w14:paraId="26FEA90D">
            <w:pPr>
              <w:widowControl/>
              <w:spacing w:line="300" w:lineRule="exact"/>
              <w:rPr>
                <w:rFonts w:hint="default" w:ascii="Times New Roman" w:hAnsi="Times New Roman" w:eastAsia="仿宋_GB2312" w:cs="Times New Roman"/>
                <w:color w:val="auto"/>
                <w:kern w:val="0"/>
                <w:szCs w:val="21"/>
                <w:highlight w:val="green"/>
              </w:rPr>
            </w:pPr>
            <w:r>
              <w:rPr>
                <w:rFonts w:hint="default" w:ascii="Times New Roman" w:hAnsi="Times New Roman" w:eastAsia="仿宋_GB2312" w:cs="Times New Roman"/>
                <w:color w:val="auto"/>
                <w:kern w:val="0"/>
                <w:szCs w:val="21"/>
                <w:highlight w:val="green"/>
              </w:rPr>
              <w:t>（72）烟感报警器、灭火器、灭火毯、消防砂、消防喷淋等，应正常有效、方便取用。</w:t>
            </w:r>
          </w:p>
          <w:p w14:paraId="12A82AE5">
            <w:pPr>
              <w:widowControl/>
              <w:spacing w:line="300" w:lineRule="exact"/>
              <w:rPr>
                <w:rFonts w:hint="default" w:ascii="Times New Roman" w:hAnsi="Times New Roman" w:eastAsia="仿宋_GB2312" w:cs="Times New Roman"/>
                <w:bCs/>
                <w:color w:val="auto"/>
                <w:kern w:val="0"/>
                <w:szCs w:val="21"/>
                <w:highlight w:val="green"/>
              </w:rPr>
            </w:pPr>
            <w:r>
              <w:rPr>
                <w:rFonts w:hint="default" w:ascii="Times New Roman" w:hAnsi="Times New Roman" w:eastAsia="仿宋_GB2312" w:cs="Times New Roman"/>
                <w:color w:val="auto"/>
                <w:kern w:val="0"/>
                <w:szCs w:val="21"/>
                <w:highlight w:val="green"/>
              </w:rPr>
              <w:t>（73）灭火器种类配置正确，且在有效期内（压力指针位置正常等），保险销正常，瓶身无破损、腐蚀</w:t>
            </w:r>
          </w:p>
        </w:tc>
        <w:tc>
          <w:tcPr>
            <w:tcW w:w="2543" w:type="dxa"/>
            <w:tcMar>
              <w:left w:w="45" w:type="dxa"/>
              <w:right w:w="45" w:type="dxa"/>
            </w:tcMar>
            <w:vAlign w:val="center"/>
          </w:tcPr>
          <w:p w14:paraId="58825E7E">
            <w:pPr>
              <w:widowControl/>
              <w:spacing w:line="300" w:lineRule="exact"/>
              <w:rPr>
                <w:rFonts w:hint="default" w:ascii="Times New Roman" w:hAnsi="Times New Roman" w:eastAsia="仿宋_GB2312" w:cs="Times New Roman"/>
                <w:bCs/>
                <w:color w:val="auto"/>
                <w:kern w:val="0"/>
                <w:szCs w:val="21"/>
              </w:rPr>
            </w:pPr>
          </w:p>
        </w:tc>
      </w:tr>
      <w:tr w14:paraId="0D71F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E56D15F">
            <w:pPr>
              <w:spacing w:line="300" w:lineRule="exact"/>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7.1.2</w:t>
            </w:r>
          </w:p>
        </w:tc>
        <w:tc>
          <w:tcPr>
            <w:tcW w:w="3703" w:type="dxa"/>
            <w:tcMar>
              <w:left w:w="45" w:type="dxa"/>
              <w:right w:w="45" w:type="dxa"/>
            </w:tcMar>
            <w:vAlign w:val="center"/>
          </w:tcPr>
          <w:p w14:paraId="33AAD56C">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紧急逃生疏散路线通畅</w:t>
            </w:r>
          </w:p>
        </w:tc>
        <w:tc>
          <w:tcPr>
            <w:tcW w:w="7777" w:type="dxa"/>
            <w:tcMar>
              <w:left w:w="45" w:type="dxa"/>
              <w:right w:w="45" w:type="dxa"/>
            </w:tcMar>
            <w:vAlign w:val="center"/>
          </w:tcPr>
          <w:p w14:paraId="3BCA54A5">
            <w:pPr>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（74）在显著位置张贴有紧急逃生疏散路线图，疏散路线图的逃生路线应有二条（含）以上，路线与现场情况符合。</w:t>
            </w:r>
          </w:p>
          <w:p w14:paraId="5C1E118F">
            <w:pPr>
              <w:rPr>
                <w:rFonts w:hint="default" w:ascii="Times New Roman" w:hAnsi="Times New Roman" w:eastAsia="仿宋_GB2312" w:cs="Times New Roman"/>
                <w:color w:val="auto"/>
                <w:kern w:val="0"/>
              </w:rPr>
            </w:pPr>
            <w:r>
              <w:rPr>
                <w:rFonts w:hint="default" w:ascii="Times New Roman" w:hAnsi="Times New Roman" w:eastAsia="仿宋_GB2312" w:cs="Times New Roman"/>
                <w:color w:val="auto"/>
                <w:kern w:val="0"/>
                <w:szCs w:val="21"/>
              </w:rPr>
              <w:t>（75）主要逃生路径（室内、楼梯、通道和出口处）有足够的紧急照明灯，功能正常</w:t>
            </w:r>
            <w:r>
              <w:rPr>
                <w:rFonts w:hint="default" w:ascii="Times New Roman" w:hAnsi="Times New Roman" w:eastAsia="仿宋_GB2312" w:cs="Times New Roman"/>
                <w:color w:val="auto"/>
                <w:kern w:val="0"/>
              </w:rPr>
              <w:t>，并设置有效标志指示逃生方向。</w:t>
            </w:r>
          </w:p>
          <w:p w14:paraId="08949011">
            <w:pPr>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rPr>
              <w:t>（76）</w:t>
            </w:r>
            <w:r>
              <w:rPr>
                <w:rFonts w:hint="default" w:ascii="Times New Roman" w:hAnsi="Times New Roman" w:eastAsia="仿宋_GB2312" w:cs="Times New Roman"/>
                <w:color w:val="auto"/>
                <w:kern w:val="0"/>
                <w:szCs w:val="21"/>
              </w:rPr>
              <w:t>人员应熟悉紧急疏散路线及火场逃生注意事项（现场调查人员熟悉程度）</w:t>
            </w:r>
          </w:p>
        </w:tc>
        <w:tc>
          <w:tcPr>
            <w:tcW w:w="2543" w:type="dxa"/>
            <w:tcMar>
              <w:left w:w="45" w:type="dxa"/>
              <w:right w:w="45" w:type="dxa"/>
            </w:tcMar>
            <w:vAlign w:val="center"/>
          </w:tcPr>
          <w:p w14:paraId="46678BFB">
            <w:pPr>
              <w:widowControl/>
              <w:spacing w:line="300" w:lineRule="exact"/>
              <w:rPr>
                <w:rFonts w:hint="default" w:ascii="Times New Roman" w:hAnsi="Times New Roman" w:eastAsia="仿宋_GB2312" w:cs="Times New Roman"/>
                <w:bCs/>
                <w:color w:val="auto"/>
                <w:kern w:val="0"/>
                <w:szCs w:val="21"/>
              </w:rPr>
            </w:pPr>
          </w:p>
        </w:tc>
      </w:tr>
      <w:tr w14:paraId="71438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7515D5A">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7.2</w:t>
            </w:r>
          </w:p>
        </w:tc>
        <w:tc>
          <w:tcPr>
            <w:tcW w:w="14023" w:type="dxa"/>
            <w:gridSpan w:val="3"/>
            <w:tcMar>
              <w:left w:w="45" w:type="dxa"/>
              <w:right w:w="45" w:type="dxa"/>
            </w:tcMar>
            <w:vAlign w:val="center"/>
          </w:tcPr>
          <w:p w14:paraId="377727ED">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应急喷淋与洗眼装置</w:t>
            </w:r>
          </w:p>
        </w:tc>
      </w:tr>
      <w:tr w14:paraId="4AA1C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7A9C832">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7.2.1</w:t>
            </w:r>
          </w:p>
        </w:tc>
        <w:tc>
          <w:tcPr>
            <w:tcW w:w="3703" w:type="dxa"/>
            <w:tcMar>
              <w:left w:w="45" w:type="dxa"/>
              <w:right w:w="45" w:type="dxa"/>
            </w:tcMar>
            <w:vAlign w:val="center"/>
          </w:tcPr>
          <w:p w14:paraId="5771F80F">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存在燃烧、腐蚀等风险的实验区域，须配置应急喷淋和洗眼装置</w:t>
            </w:r>
          </w:p>
        </w:tc>
        <w:tc>
          <w:tcPr>
            <w:tcW w:w="7777" w:type="dxa"/>
            <w:tcMar>
              <w:left w:w="45" w:type="dxa"/>
              <w:right w:w="45" w:type="dxa"/>
            </w:tcMar>
            <w:vAlign w:val="center"/>
          </w:tcPr>
          <w:p w14:paraId="4A4645BE">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（77）应急喷淋和洗眼装置的区域有显著标志</w:t>
            </w:r>
          </w:p>
        </w:tc>
        <w:tc>
          <w:tcPr>
            <w:tcW w:w="2543" w:type="dxa"/>
            <w:tcMar>
              <w:left w:w="45" w:type="dxa"/>
              <w:right w:w="45" w:type="dxa"/>
            </w:tcMar>
            <w:vAlign w:val="center"/>
          </w:tcPr>
          <w:p w14:paraId="04EE7241">
            <w:pPr>
              <w:spacing w:line="300" w:lineRule="exact"/>
              <w:rPr>
                <w:rFonts w:hint="default" w:ascii="Times New Roman" w:hAnsi="Times New Roman" w:eastAsia="仿宋_GB2312" w:cs="Times New Roman"/>
                <w:bCs/>
                <w:color w:val="auto"/>
                <w:kern w:val="0"/>
              </w:rPr>
            </w:pPr>
          </w:p>
        </w:tc>
      </w:tr>
      <w:tr w14:paraId="6CBB6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C6D8967">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7.2.2</w:t>
            </w:r>
          </w:p>
        </w:tc>
        <w:tc>
          <w:tcPr>
            <w:tcW w:w="3703" w:type="dxa"/>
            <w:tcMar>
              <w:left w:w="45" w:type="dxa"/>
              <w:right w:w="45" w:type="dxa"/>
            </w:tcMar>
            <w:vAlign w:val="center"/>
          </w:tcPr>
          <w:p w14:paraId="513CFDD9">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应急喷淋与洗眼装置安装合理，并能正常使用</w:t>
            </w:r>
          </w:p>
        </w:tc>
        <w:tc>
          <w:tcPr>
            <w:tcW w:w="7777" w:type="dxa"/>
            <w:tcMar>
              <w:left w:w="45" w:type="dxa"/>
              <w:right w:w="45" w:type="dxa"/>
            </w:tcMar>
            <w:vAlign w:val="center"/>
          </w:tcPr>
          <w:p w14:paraId="2BE347F9">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（78）应急喷淋安装地点与工作区域之间畅通，距离不超过30m。应急喷淋安装位置合适，拉杆位置合适、方向正确。应急喷淋装置水管总阀为常开状态，喷淋头下方410mm范围内无障碍物。</w:t>
            </w:r>
          </w:p>
          <w:p w14:paraId="494CE2A3">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（79）不能以普通淋浴装置代替应急喷淋装置。</w:t>
            </w:r>
          </w:p>
          <w:p w14:paraId="259F767C">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（80）洗眼装置接入生活用水管道，应至少以1.5L/min的流量供水，水压适中，</w:t>
            </w:r>
            <w:r>
              <w:rPr>
                <w:rFonts w:hint="default" w:ascii="Times New Roman" w:hAnsi="Times New Roman" w:eastAsia="仿宋_GB2312" w:cs="Times New Roman"/>
                <w:bCs/>
                <w:color w:val="auto"/>
                <w:kern w:val="0"/>
                <w:szCs w:val="21"/>
              </w:rPr>
              <w:t>水流畅通平稳</w:t>
            </w:r>
          </w:p>
        </w:tc>
        <w:tc>
          <w:tcPr>
            <w:tcW w:w="2543" w:type="dxa"/>
            <w:tcMar>
              <w:left w:w="45" w:type="dxa"/>
              <w:right w:w="45" w:type="dxa"/>
            </w:tcMar>
            <w:vAlign w:val="center"/>
          </w:tcPr>
          <w:p w14:paraId="719142C5">
            <w:pPr>
              <w:widowControl/>
              <w:spacing w:line="300" w:lineRule="exact"/>
              <w:rPr>
                <w:rFonts w:hint="default" w:ascii="Times New Roman" w:hAnsi="Times New Roman" w:eastAsia="仿宋_GB2312" w:cs="Times New Roman"/>
                <w:bCs/>
                <w:color w:val="auto"/>
                <w:kern w:val="0"/>
                <w:szCs w:val="21"/>
              </w:rPr>
            </w:pPr>
          </w:p>
        </w:tc>
      </w:tr>
      <w:tr w14:paraId="37AD3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BE8AAF0">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7.2.3</w:t>
            </w:r>
          </w:p>
        </w:tc>
        <w:tc>
          <w:tcPr>
            <w:tcW w:w="3703" w:type="dxa"/>
            <w:tcMar>
              <w:left w:w="45" w:type="dxa"/>
              <w:right w:w="45" w:type="dxa"/>
            </w:tcMar>
            <w:vAlign w:val="center"/>
          </w:tcPr>
          <w:p w14:paraId="57F2A89B">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定期对应急喷淋与洗眼装置进行维护</w:t>
            </w:r>
          </w:p>
        </w:tc>
        <w:tc>
          <w:tcPr>
            <w:tcW w:w="7777" w:type="dxa"/>
            <w:tcMar>
              <w:left w:w="45" w:type="dxa"/>
              <w:right w:w="45" w:type="dxa"/>
            </w:tcMar>
            <w:vAlign w:val="center"/>
          </w:tcPr>
          <w:p w14:paraId="133B200C">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（81）经常对应急喷淋与洗眼装置进行维护，无锈水、脏水，有检查记录</w:t>
            </w:r>
          </w:p>
        </w:tc>
        <w:tc>
          <w:tcPr>
            <w:tcW w:w="2543" w:type="dxa"/>
            <w:tcMar>
              <w:left w:w="45" w:type="dxa"/>
              <w:right w:w="45" w:type="dxa"/>
            </w:tcMar>
            <w:vAlign w:val="center"/>
          </w:tcPr>
          <w:p w14:paraId="5E4928C0">
            <w:pPr>
              <w:widowControl/>
              <w:spacing w:line="300" w:lineRule="exact"/>
              <w:rPr>
                <w:rFonts w:hint="default" w:ascii="Times New Roman" w:hAnsi="Times New Roman" w:eastAsia="仿宋_GB2312" w:cs="Times New Roman"/>
                <w:bCs/>
                <w:color w:val="auto"/>
                <w:kern w:val="0"/>
                <w:szCs w:val="21"/>
              </w:rPr>
            </w:pPr>
          </w:p>
        </w:tc>
      </w:tr>
      <w:tr w14:paraId="105A8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B24C2E4">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7.3</w:t>
            </w:r>
          </w:p>
        </w:tc>
        <w:tc>
          <w:tcPr>
            <w:tcW w:w="14023" w:type="dxa"/>
            <w:gridSpan w:val="3"/>
            <w:tcMar>
              <w:left w:w="45" w:type="dxa"/>
              <w:right w:w="45" w:type="dxa"/>
            </w:tcMar>
            <w:vAlign w:val="center"/>
          </w:tcPr>
          <w:p w14:paraId="1C5552E9">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通风系统</w:t>
            </w:r>
          </w:p>
        </w:tc>
      </w:tr>
      <w:tr w14:paraId="0D367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B6CAFFC">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7.3.1</w:t>
            </w:r>
          </w:p>
        </w:tc>
        <w:tc>
          <w:tcPr>
            <w:tcW w:w="3703" w:type="dxa"/>
            <w:tcMar>
              <w:left w:w="45" w:type="dxa"/>
              <w:right w:w="45" w:type="dxa"/>
            </w:tcMar>
            <w:vAlign w:val="center"/>
          </w:tcPr>
          <w:p w14:paraId="13A85687">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有需要的实验场所配备符合设计规范的通风系统</w:t>
            </w:r>
          </w:p>
        </w:tc>
        <w:tc>
          <w:tcPr>
            <w:tcW w:w="7777" w:type="dxa"/>
            <w:tcMar>
              <w:left w:w="45" w:type="dxa"/>
              <w:right w:w="45" w:type="dxa"/>
            </w:tcMar>
            <w:vAlign w:val="center"/>
          </w:tcPr>
          <w:p w14:paraId="3C0C35CF">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（82）管道和风机须防腐，使用可燃气体的场所宜采用防爆风机。</w:t>
            </w:r>
          </w:p>
          <w:p w14:paraId="3B792BF4">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bCs/>
                <w:color w:val="auto"/>
                <w:kern w:val="0"/>
                <w:szCs w:val="21"/>
              </w:rPr>
              <w:t>（83）</w:t>
            </w:r>
            <w:r>
              <w:rPr>
                <w:rFonts w:hint="default" w:ascii="Times New Roman" w:hAnsi="Times New Roman" w:eastAsia="仿宋_GB2312" w:cs="Times New Roman"/>
                <w:b/>
                <w:bCs/>
                <w:color w:val="auto"/>
                <w:kern w:val="0"/>
                <w:szCs w:val="21"/>
              </w:rPr>
              <w:t>实验室通风系统运行正常，</w:t>
            </w:r>
            <w:r>
              <w:rPr>
                <w:rFonts w:hint="default" w:ascii="Times New Roman" w:hAnsi="Times New Roman" w:eastAsia="仿宋_GB2312" w:cs="Times New Roman"/>
                <w:b/>
                <w:bCs/>
                <w:color w:val="auto"/>
                <w:szCs w:val="21"/>
              </w:rPr>
              <w:t>柜口面</w:t>
            </w:r>
            <w:r>
              <w:rPr>
                <w:rFonts w:hint="default" w:ascii="Times New Roman" w:hAnsi="Times New Roman" w:eastAsia="仿宋_GB2312" w:cs="Times New Roman"/>
                <w:b/>
                <w:bCs/>
                <w:color w:val="auto"/>
                <w:kern w:val="0"/>
                <w:szCs w:val="21"/>
              </w:rPr>
              <w:t>风速0.35~0.75m/s，定期进行维护、检修</w:t>
            </w:r>
            <w:r>
              <w:rPr>
                <w:rFonts w:hint="default" w:ascii="Times New Roman" w:hAnsi="Times New Roman" w:eastAsia="仿宋_GB2312" w:cs="Times New Roman"/>
                <w:color w:val="auto"/>
                <w:kern w:val="0"/>
                <w:szCs w:val="21"/>
              </w:rPr>
              <w:t>。</w:t>
            </w:r>
          </w:p>
          <w:p w14:paraId="3297FCBE">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（84）屋顶风机固定无松动、无异常噪声</w:t>
            </w:r>
          </w:p>
        </w:tc>
        <w:tc>
          <w:tcPr>
            <w:tcW w:w="2543" w:type="dxa"/>
            <w:tcMar>
              <w:left w:w="45" w:type="dxa"/>
              <w:right w:w="45" w:type="dxa"/>
            </w:tcMar>
            <w:vAlign w:val="center"/>
          </w:tcPr>
          <w:p w14:paraId="0BC7DB58">
            <w:pPr>
              <w:spacing w:line="300" w:lineRule="exact"/>
              <w:rPr>
                <w:rFonts w:hint="default" w:ascii="Times New Roman" w:hAnsi="Times New Roman" w:eastAsia="仿宋_GB2312" w:cs="Times New Roman"/>
                <w:bCs/>
                <w:color w:val="auto"/>
                <w:kern w:val="0"/>
                <w:szCs w:val="21"/>
              </w:rPr>
            </w:pPr>
          </w:p>
        </w:tc>
      </w:tr>
      <w:tr w14:paraId="46300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E414087">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7.3.2</w:t>
            </w:r>
          </w:p>
        </w:tc>
        <w:tc>
          <w:tcPr>
            <w:tcW w:w="3703" w:type="dxa"/>
            <w:tcMar>
              <w:left w:w="45" w:type="dxa"/>
              <w:right w:w="45" w:type="dxa"/>
            </w:tcMar>
            <w:vAlign w:val="center"/>
          </w:tcPr>
          <w:p w14:paraId="28558463">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通风柜配置合理、使用正常、操作合规</w:t>
            </w:r>
          </w:p>
        </w:tc>
        <w:tc>
          <w:tcPr>
            <w:tcW w:w="7777" w:type="dxa"/>
            <w:tcMar>
              <w:left w:w="45" w:type="dxa"/>
              <w:right w:w="45" w:type="dxa"/>
            </w:tcMar>
            <w:vAlign w:val="center"/>
          </w:tcPr>
          <w:p w14:paraId="73C4A1DA">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（85）实验室排出的有害物质浓度超过国家现行标准规定的允许排放标准时，须采取净化措施，做到达标排放。</w:t>
            </w:r>
          </w:p>
          <w:p w14:paraId="59822ADE">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（86）任何可能产生有毒有害气体而导致个人曝露，或产生可燃、可爆炸气体或蒸气而导致积聚的实验，都须在通风柜内进行。</w:t>
            </w:r>
          </w:p>
          <w:p w14:paraId="71B37E75">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（87）进行实验时，通风柜可调玻璃视窗开至离台面10</w:t>
            </w:r>
            <w:r>
              <w:rPr>
                <w:rFonts w:hint="default" w:ascii="Times New Roman" w:hAnsi="Times New Roman" w:eastAsia="仿宋_GB2312" w:cs="Times New Roman"/>
                <w:color w:val="auto"/>
              </w:rPr>
              <w:t xml:space="preserve"> </w:t>
            </w:r>
            <w:r>
              <w:rPr>
                <w:rFonts w:hint="default" w:ascii="Times New Roman" w:hAnsi="Times New Roman" w:eastAsia="仿宋_GB2312" w:cs="Times New Roman"/>
                <w:color w:val="auto"/>
                <w:kern w:val="0"/>
                <w:szCs w:val="21"/>
              </w:rPr>
              <w:t>~ 15cm，保持通风效果，并保护操作人员胸部以上部位。实验人员在通风柜进行实验时，避免将头伸入调节门内。不可将一次性手套或较轻的塑料袋等留在通风柜内，以免堵塞排风口。通风柜内放置的物品应距离调节门内侧15cm以上，以免掉落。不得将通风柜作为化学试剂存放场所。</w:t>
            </w:r>
            <w:r>
              <w:rPr>
                <w:rFonts w:hint="default" w:ascii="Times New Roman" w:hAnsi="Times New Roman" w:eastAsia="仿宋_GB2312" w:cs="Times New Roman"/>
                <w:bCs/>
                <w:color w:val="auto"/>
                <w:kern w:val="0"/>
                <w:szCs w:val="21"/>
              </w:rPr>
              <w:t>玻璃视窗材料应是钢化玻璃</w:t>
            </w:r>
          </w:p>
        </w:tc>
        <w:tc>
          <w:tcPr>
            <w:tcW w:w="2543" w:type="dxa"/>
            <w:tcMar>
              <w:left w:w="45" w:type="dxa"/>
              <w:right w:w="45" w:type="dxa"/>
            </w:tcMar>
            <w:vAlign w:val="center"/>
          </w:tcPr>
          <w:p w14:paraId="0E07395B">
            <w:pPr>
              <w:widowControl/>
              <w:spacing w:line="300" w:lineRule="exact"/>
              <w:rPr>
                <w:rFonts w:hint="default" w:ascii="Times New Roman" w:hAnsi="Times New Roman" w:eastAsia="仿宋_GB2312" w:cs="Times New Roman"/>
                <w:bCs/>
                <w:color w:val="auto"/>
                <w:kern w:val="0"/>
                <w:szCs w:val="21"/>
              </w:rPr>
            </w:pPr>
          </w:p>
        </w:tc>
      </w:tr>
      <w:tr w14:paraId="539F3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C59D6E4">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7.4</w:t>
            </w:r>
          </w:p>
        </w:tc>
        <w:tc>
          <w:tcPr>
            <w:tcW w:w="14023" w:type="dxa"/>
            <w:gridSpan w:val="3"/>
            <w:tcMar>
              <w:left w:w="45" w:type="dxa"/>
              <w:right w:w="45" w:type="dxa"/>
            </w:tcMar>
            <w:vAlign w:val="center"/>
          </w:tcPr>
          <w:p w14:paraId="5D95B720">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门禁监控</w:t>
            </w:r>
          </w:p>
        </w:tc>
      </w:tr>
      <w:tr w14:paraId="59F96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F5BF0FA">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7.4.1</w:t>
            </w:r>
          </w:p>
        </w:tc>
        <w:tc>
          <w:tcPr>
            <w:tcW w:w="3703" w:type="dxa"/>
            <w:tcMar>
              <w:left w:w="45" w:type="dxa"/>
              <w:right w:w="45" w:type="dxa"/>
            </w:tcMar>
            <w:vAlign w:val="center"/>
          </w:tcPr>
          <w:p w14:paraId="253861B7">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重点场所须安装门禁和监控设施，并有专人管理</w:t>
            </w:r>
          </w:p>
        </w:tc>
        <w:tc>
          <w:tcPr>
            <w:tcW w:w="7777" w:type="dxa"/>
            <w:tcMar>
              <w:left w:w="45" w:type="dxa"/>
              <w:right w:w="45" w:type="dxa"/>
            </w:tcMar>
            <w:vAlign w:val="center"/>
          </w:tcPr>
          <w:p w14:paraId="7F097A79">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szCs w:val="21"/>
              </w:rPr>
              <w:t>（88）关注重点场所，如有剧毒品、病原微生物、放射源、核材料等危险源的地点</w:t>
            </w:r>
          </w:p>
        </w:tc>
        <w:tc>
          <w:tcPr>
            <w:tcW w:w="2543" w:type="dxa"/>
            <w:tcMar>
              <w:left w:w="45" w:type="dxa"/>
              <w:right w:w="45" w:type="dxa"/>
            </w:tcMar>
            <w:vAlign w:val="center"/>
          </w:tcPr>
          <w:p w14:paraId="29AC81B9">
            <w:pPr>
              <w:widowControl/>
              <w:spacing w:line="300" w:lineRule="exact"/>
              <w:rPr>
                <w:rFonts w:hint="default" w:ascii="Times New Roman" w:hAnsi="Times New Roman" w:eastAsia="仿宋_GB2312" w:cs="Times New Roman"/>
                <w:bCs/>
                <w:color w:val="auto"/>
                <w:kern w:val="0"/>
                <w:szCs w:val="21"/>
              </w:rPr>
            </w:pPr>
          </w:p>
        </w:tc>
      </w:tr>
      <w:tr w14:paraId="34839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F5DE446">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7.4.2</w:t>
            </w:r>
          </w:p>
        </w:tc>
        <w:tc>
          <w:tcPr>
            <w:tcW w:w="3703" w:type="dxa"/>
            <w:tcMar>
              <w:left w:w="45" w:type="dxa"/>
              <w:right w:w="45" w:type="dxa"/>
            </w:tcMar>
            <w:vAlign w:val="center"/>
          </w:tcPr>
          <w:p w14:paraId="600B3D1A">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门禁和监控系统运转正常，与实验室准入制度相匹配</w:t>
            </w:r>
          </w:p>
        </w:tc>
        <w:tc>
          <w:tcPr>
            <w:tcW w:w="7777" w:type="dxa"/>
            <w:tcMar>
              <w:left w:w="45" w:type="dxa"/>
              <w:right w:w="45" w:type="dxa"/>
            </w:tcMar>
            <w:vAlign w:val="center"/>
          </w:tcPr>
          <w:p w14:paraId="2A33E8F6">
            <w:pPr>
              <w:widowControl/>
              <w:spacing w:line="300" w:lineRule="exact"/>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（89）监控不留死角，图像清晰，人员出入记录可查，视频记录存储时间不少于30天。</w:t>
            </w:r>
          </w:p>
          <w:p w14:paraId="247CE908">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szCs w:val="21"/>
              </w:rPr>
              <w:t>（90）停电时，电子门禁系统应是开启状态或者有备用机械钥匙</w:t>
            </w:r>
          </w:p>
        </w:tc>
        <w:tc>
          <w:tcPr>
            <w:tcW w:w="2543" w:type="dxa"/>
            <w:tcMar>
              <w:left w:w="45" w:type="dxa"/>
              <w:right w:w="45" w:type="dxa"/>
            </w:tcMar>
            <w:vAlign w:val="center"/>
          </w:tcPr>
          <w:p w14:paraId="67048C34">
            <w:pPr>
              <w:widowControl/>
              <w:spacing w:line="300" w:lineRule="exact"/>
              <w:rPr>
                <w:rFonts w:hint="default" w:ascii="Times New Roman" w:hAnsi="Times New Roman" w:eastAsia="仿宋_GB2312" w:cs="Times New Roman"/>
                <w:bCs/>
                <w:color w:val="auto"/>
                <w:kern w:val="0"/>
                <w:szCs w:val="21"/>
              </w:rPr>
            </w:pPr>
          </w:p>
        </w:tc>
      </w:tr>
      <w:tr w14:paraId="2547C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871E39E">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7.5</w:t>
            </w:r>
          </w:p>
        </w:tc>
        <w:tc>
          <w:tcPr>
            <w:tcW w:w="14023" w:type="dxa"/>
            <w:gridSpan w:val="3"/>
            <w:tcMar>
              <w:left w:w="45" w:type="dxa"/>
              <w:right w:w="45" w:type="dxa"/>
            </w:tcMar>
            <w:vAlign w:val="center"/>
          </w:tcPr>
          <w:p w14:paraId="0435F6C0">
            <w:pPr>
              <w:widowControl/>
              <w:spacing w:line="300" w:lineRule="exact"/>
              <w:rPr>
                <w:rFonts w:hint="default" w:ascii="Times New Roman" w:hAnsi="Times New Roman" w:eastAsia="仿宋_GB2312" w:cs="Times New Roman"/>
                <w:b/>
                <w:color w:val="auto"/>
                <w:szCs w:val="21"/>
              </w:rPr>
            </w:pPr>
            <w:r>
              <w:rPr>
                <w:rFonts w:hint="default" w:ascii="Times New Roman" w:hAnsi="Times New Roman" w:eastAsia="仿宋_GB2312" w:cs="Times New Roman"/>
                <w:b/>
                <w:color w:val="auto"/>
                <w:szCs w:val="21"/>
              </w:rPr>
              <w:t>实验室防爆</w:t>
            </w:r>
          </w:p>
        </w:tc>
      </w:tr>
      <w:tr w14:paraId="64713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DEDD6B4">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7.5.1</w:t>
            </w:r>
          </w:p>
        </w:tc>
        <w:tc>
          <w:tcPr>
            <w:tcW w:w="3703" w:type="dxa"/>
            <w:tcMar>
              <w:left w:w="45" w:type="dxa"/>
              <w:right w:w="45" w:type="dxa"/>
            </w:tcMar>
            <w:vAlign w:val="center"/>
          </w:tcPr>
          <w:p w14:paraId="38528684">
            <w:pPr>
              <w:spacing w:line="300" w:lineRule="exact"/>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有防爆需求的实验室须符合防爆设计要求</w:t>
            </w:r>
          </w:p>
        </w:tc>
        <w:tc>
          <w:tcPr>
            <w:tcW w:w="7777" w:type="dxa"/>
            <w:tcMar>
              <w:left w:w="45" w:type="dxa"/>
              <w:right w:w="45" w:type="dxa"/>
            </w:tcMar>
            <w:vAlign w:val="center"/>
          </w:tcPr>
          <w:p w14:paraId="50FF4899">
            <w:pPr>
              <w:widowControl/>
              <w:spacing w:line="300" w:lineRule="exact"/>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（91）有防爆需求的实验室，应选用防爆型的电气设备。防爆灯、防爆电气开关、除尘装置、导线敷设等应达到整体防爆要求；安装必要的气体报警系统、监控系统、应急系统等。</w:t>
            </w:r>
          </w:p>
          <w:p w14:paraId="6C90FCD5">
            <w:pPr>
              <w:widowControl/>
              <w:spacing w:line="300" w:lineRule="exact"/>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（92）可燃气体管道，应科学选用和安装阻火器。</w:t>
            </w:r>
          </w:p>
          <w:p w14:paraId="11405CC3">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szCs w:val="21"/>
              </w:rPr>
              <w:t>（93）采取有效措施，避免或减少出现危险爆炸性环境，避免出现任何潜在的有效点燃源</w:t>
            </w:r>
          </w:p>
        </w:tc>
        <w:tc>
          <w:tcPr>
            <w:tcW w:w="2543" w:type="dxa"/>
            <w:tcMar>
              <w:left w:w="45" w:type="dxa"/>
              <w:right w:w="45" w:type="dxa"/>
            </w:tcMar>
            <w:vAlign w:val="center"/>
          </w:tcPr>
          <w:p w14:paraId="6D334F2C">
            <w:pPr>
              <w:widowControl/>
              <w:spacing w:line="300" w:lineRule="exact"/>
              <w:rPr>
                <w:rFonts w:hint="default" w:ascii="Times New Roman" w:hAnsi="Times New Roman" w:eastAsia="仿宋_GB2312" w:cs="Times New Roman"/>
                <w:color w:val="auto"/>
                <w:szCs w:val="21"/>
              </w:rPr>
            </w:pPr>
          </w:p>
        </w:tc>
      </w:tr>
      <w:tr w14:paraId="53C9E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7393ACF">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7.5.2</w:t>
            </w:r>
          </w:p>
        </w:tc>
        <w:tc>
          <w:tcPr>
            <w:tcW w:w="3703" w:type="dxa"/>
            <w:tcMar>
              <w:left w:w="45" w:type="dxa"/>
              <w:right w:w="45" w:type="dxa"/>
            </w:tcMar>
            <w:vAlign w:val="center"/>
          </w:tcPr>
          <w:p w14:paraId="19920473">
            <w:pPr>
              <w:spacing w:line="300" w:lineRule="exact"/>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应妥善防护具有爆炸危险性的仪器设备</w:t>
            </w:r>
          </w:p>
        </w:tc>
        <w:tc>
          <w:tcPr>
            <w:tcW w:w="7777" w:type="dxa"/>
            <w:tcMar>
              <w:left w:w="45" w:type="dxa"/>
              <w:right w:w="45" w:type="dxa"/>
            </w:tcMar>
            <w:vAlign w:val="center"/>
          </w:tcPr>
          <w:p w14:paraId="11C15CD0">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szCs w:val="21"/>
              </w:rPr>
              <w:t>（94）使用适合的安全罩防护</w:t>
            </w:r>
          </w:p>
        </w:tc>
        <w:tc>
          <w:tcPr>
            <w:tcW w:w="2543" w:type="dxa"/>
            <w:tcMar>
              <w:left w:w="45" w:type="dxa"/>
              <w:right w:w="45" w:type="dxa"/>
            </w:tcMar>
            <w:vAlign w:val="center"/>
          </w:tcPr>
          <w:p w14:paraId="42125168">
            <w:pPr>
              <w:widowControl/>
              <w:spacing w:line="300" w:lineRule="exact"/>
              <w:rPr>
                <w:rFonts w:hint="default" w:ascii="Times New Roman" w:hAnsi="Times New Roman" w:eastAsia="仿宋_GB2312" w:cs="Times New Roman"/>
                <w:color w:val="auto"/>
                <w:szCs w:val="21"/>
              </w:rPr>
            </w:pPr>
          </w:p>
        </w:tc>
      </w:tr>
      <w:tr w14:paraId="771C1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36F0270">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8</w:t>
            </w:r>
          </w:p>
        </w:tc>
        <w:tc>
          <w:tcPr>
            <w:tcW w:w="14023" w:type="dxa"/>
            <w:gridSpan w:val="3"/>
            <w:tcMar>
              <w:left w:w="45" w:type="dxa"/>
              <w:right w:w="45" w:type="dxa"/>
            </w:tcMar>
            <w:vAlign w:val="center"/>
          </w:tcPr>
          <w:p w14:paraId="54BD2408">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基础安全</w:t>
            </w:r>
          </w:p>
        </w:tc>
      </w:tr>
      <w:tr w14:paraId="75CFB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C26FC50">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8.1</w:t>
            </w:r>
          </w:p>
        </w:tc>
        <w:tc>
          <w:tcPr>
            <w:tcW w:w="14023" w:type="dxa"/>
            <w:gridSpan w:val="3"/>
            <w:tcMar>
              <w:left w:w="45" w:type="dxa"/>
              <w:right w:w="45" w:type="dxa"/>
            </w:tcMar>
            <w:vAlign w:val="center"/>
          </w:tcPr>
          <w:p w14:paraId="4EAA496D">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用电、用水基础安全</w:t>
            </w:r>
          </w:p>
        </w:tc>
      </w:tr>
      <w:tr w14:paraId="5F5F5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C751C6C">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8.1.1</w:t>
            </w:r>
          </w:p>
        </w:tc>
        <w:tc>
          <w:tcPr>
            <w:tcW w:w="3703" w:type="dxa"/>
            <w:tcMar>
              <w:left w:w="45" w:type="dxa"/>
              <w:right w:w="45" w:type="dxa"/>
            </w:tcMar>
            <w:vAlign w:val="center"/>
          </w:tcPr>
          <w:p w14:paraId="73D01D3E">
            <w:pPr>
              <w:widowControl/>
              <w:spacing w:line="300" w:lineRule="exact"/>
              <w:rPr>
                <w:rFonts w:hint="default" w:ascii="Times New Roman" w:hAnsi="Times New Roman" w:eastAsia="仿宋_GB2312" w:cs="Times New Roman"/>
                <w:color w:val="auto"/>
                <w:kern w:val="0"/>
                <w:szCs w:val="21"/>
                <w:highlight w:val="green"/>
              </w:rPr>
            </w:pPr>
            <w:r>
              <w:rPr>
                <w:rFonts w:hint="default" w:ascii="Times New Roman" w:hAnsi="Times New Roman" w:eastAsia="仿宋_GB2312" w:cs="Times New Roman"/>
                <w:color w:val="auto"/>
                <w:kern w:val="0"/>
                <w:szCs w:val="21"/>
                <w:highlight w:val="green"/>
              </w:rPr>
              <w:t>实验室用电安全应符合国家标准（导则）和行业标准</w:t>
            </w:r>
          </w:p>
        </w:tc>
        <w:tc>
          <w:tcPr>
            <w:tcW w:w="7777" w:type="dxa"/>
            <w:tcMar>
              <w:left w:w="45" w:type="dxa"/>
              <w:right w:w="45" w:type="dxa"/>
            </w:tcMar>
            <w:vAlign w:val="center"/>
          </w:tcPr>
          <w:p w14:paraId="11FED4B4">
            <w:pPr>
              <w:rPr>
                <w:rFonts w:hint="default" w:ascii="Times New Roman" w:hAnsi="Times New Roman" w:eastAsia="仿宋_GB2312" w:cs="Times New Roman"/>
                <w:color w:val="auto"/>
                <w:kern w:val="0"/>
                <w:szCs w:val="21"/>
                <w:highlight w:val="green"/>
              </w:rPr>
            </w:pPr>
            <w:r>
              <w:rPr>
                <w:rFonts w:hint="default" w:ascii="Times New Roman" w:hAnsi="Times New Roman" w:eastAsia="仿宋_GB2312" w:cs="Times New Roman"/>
                <w:color w:val="auto"/>
                <w:kern w:val="0"/>
                <w:szCs w:val="21"/>
                <w:highlight w:val="green"/>
              </w:rPr>
              <w:t>（95）实验室配电容量、插头插座与用电设备功率须匹配，不得私自改装。</w:t>
            </w:r>
          </w:p>
          <w:p w14:paraId="7832B68F">
            <w:pPr>
              <w:rPr>
                <w:rFonts w:hint="default" w:ascii="Times New Roman" w:hAnsi="Times New Roman" w:eastAsia="仿宋_GB2312" w:cs="Times New Roman"/>
                <w:color w:val="auto"/>
                <w:kern w:val="0"/>
                <w:szCs w:val="21"/>
                <w:highlight w:val="green"/>
              </w:rPr>
            </w:pPr>
            <w:r>
              <w:rPr>
                <w:rFonts w:hint="default" w:ascii="Times New Roman" w:hAnsi="Times New Roman" w:eastAsia="仿宋_GB2312" w:cs="Times New Roman"/>
                <w:color w:val="auto"/>
                <w:kern w:val="0"/>
                <w:szCs w:val="21"/>
                <w:highlight w:val="green"/>
              </w:rPr>
              <w:t>（96）电源插座须有效固定。</w:t>
            </w:r>
          </w:p>
          <w:p w14:paraId="4C927C7E">
            <w:pPr>
              <w:rPr>
                <w:rFonts w:hint="default" w:ascii="Times New Roman" w:hAnsi="Times New Roman" w:eastAsia="仿宋_GB2312" w:cs="Times New Roman"/>
                <w:color w:val="auto"/>
                <w:kern w:val="0"/>
                <w:szCs w:val="21"/>
                <w:highlight w:val="green"/>
              </w:rPr>
            </w:pPr>
            <w:r>
              <w:rPr>
                <w:rFonts w:hint="default" w:ascii="Times New Roman" w:hAnsi="Times New Roman" w:eastAsia="仿宋_GB2312" w:cs="Times New Roman"/>
                <w:color w:val="auto"/>
                <w:kern w:val="0"/>
                <w:szCs w:val="21"/>
                <w:highlight w:val="green"/>
              </w:rPr>
              <w:t>（97）电气设备应配备空气开关和漏电保护器。</w:t>
            </w:r>
          </w:p>
          <w:p w14:paraId="2ABEC105">
            <w:pPr>
              <w:rPr>
                <w:rFonts w:hint="default" w:ascii="Times New Roman" w:hAnsi="Times New Roman" w:eastAsia="仿宋_GB2312" w:cs="Times New Roman"/>
                <w:color w:val="auto"/>
                <w:kern w:val="0"/>
                <w:highlight w:val="green"/>
              </w:rPr>
            </w:pPr>
            <w:r>
              <w:rPr>
                <w:rFonts w:hint="default" w:ascii="Times New Roman" w:hAnsi="Times New Roman" w:eastAsia="仿宋_GB2312" w:cs="Times New Roman"/>
                <w:color w:val="auto"/>
                <w:kern w:val="0"/>
                <w:szCs w:val="21"/>
                <w:highlight w:val="green"/>
              </w:rPr>
              <w:t>（98）不私自乱拉、乱接电线、电缆，禁止多个接线板串接供电，接线板不宜直接置于地面。</w:t>
            </w:r>
          </w:p>
          <w:p w14:paraId="72FFAF16">
            <w:pPr>
              <w:rPr>
                <w:rFonts w:hint="default" w:ascii="Times New Roman" w:hAnsi="Times New Roman" w:eastAsia="仿宋_GB2312" w:cs="Times New Roman"/>
                <w:color w:val="auto"/>
                <w:kern w:val="0"/>
                <w:highlight w:val="green"/>
              </w:rPr>
            </w:pPr>
            <w:r>
              <w:rPr>
                <w:rFonts w:hint="default" w:ascii="Times New Roman" w:hAnsi="Times New Roman" w:eastAsia="仿宋_GB2312" w:cs="Times New Roman"/>
                <w:color w:val="auto"/>
                <w:kern w:val="0"/>
                <w:highlight w:val="green"/>
              </w:rPr>
              <w:t>（99）禁止使用老化的线缆、花线、木质配电板、有破损的接线板，电线接头绝缘可靠，无裸露连接线，穿越通道的线缆应有盖板或护套，不使用老国标接线板、插座。</w:t>
            </w:r>
          </w:p>
          <w:p w14:paraId="55ECC9C4">
            <w:pPr>
              <w:rPr>
                <w:rFonts w:hint="default" w:ascii="Times New Roman" w:hAnsi="Times New Roman" w:eastAsia="仿宋_GB2312" w:cs="Times New Roman"/>
                <w:color w:val="auto"/>
                <w:kern w:val="0"/>
                <w:szCs w:val="21"/>
                <w:highlight w:val="green"/>
              </w:rPr>
            </w:pPr>
            <w:r>
              <w:rPr>
                <w:rFonts w:hint="default" w:ascii="Times New Roman" w:hAnsi="Times New Roman" w:eastAsia="仿宋_GB2312" w:cs="Times New Roman"/>
                <w:color w:val="auto"/>
                <w:kern w:val="0"/>
                <w:szCs w:val="21"/>
                <w:highlight w:val="green"/>
              </w:rPr>
              <w:t>（100）大功率仪器（包括空调等）使用专用插座。</w:t>
            </w:r>
          </w:p>
          <w:p w14:paraId="780537E5">
            <w:pPr>
              <w:rPr>
                <w:rFonts w:hint="default" w:ascii="Times New Roman" w:hAnsi="Times New Roman" w:eastAsia="仿宋_GB2312" w:cs="Times New Roman"/>
                <w:color w:val="auto"/>
                <w:kern w:val="0"/>
                <w:szCs w:val="21"/>
                <w:highlight w:val="green"/>
              </w:rPr>
            </w:pPr>
            <w:r>
              <w:rPr>
                <w:rFonts w:hint="default" w:ascii="Times New Roman" w:hAnsi="Times New Roman" w:eastAsia="仿宋_GB2312" w:cs="Times New Roman"/>
                <w:color w:val="auto"/>
                <w:kern w:val="0"/>
                <w:szCs w:val="21"/>
                <w:highlight w:val="green"/>
              </w:rPr>
              <w:t>（101）电器长期不用时，应切断电源。</w:t>
            </w:r>
          </w:p>
          <w:p w14:paraId="7B3E4845">
            <w:pPr>
              <w:rPr>
                <w:rFonts w:hint="default" w:ascii="Times New Roman" w:hAnsi="Times New Roman" w:eastAsia="仿宋_GB2312" w:cs="Times New Roman"/>
                <w:bCs/>
                <w:color w:val="auto"/>
                <w:kern w:val="0"/>
                <w:szCs w:val="21"/>
                <w:highlight w:val="green"/>
              </w:rPr>
            </w:pPr>
            <w:bookmarkStart w:id="0" w:name="OLE_LINK1"/>
            <w:r>
              <w:rPr>
                <w:rFonts w:hint="default" w:ascii="Times New Roman" w:hAnsi="Times New Roman" w:eastAsia="仿宋_GB2312" w:cs="Times New Roman"/>
                <w:color w:val="auto"/>
                <w:kern w:val="0"/>
                <w:szCs w:val="21"/>
                <w:highlight w:val="green"/>
              </w:rPr>
              <w:t>（102）配电箱前不应有物品遮挡并便于操作，周围不应放置烘箱、电炉、易燃易爆气瓶、易燃易爆化学试剂、废液桶等；配电箱的金属箱体应与箱内保护零线或保护地线可靠连接；配电箱不宜设置在水槽上方或较近位置</w:t>
            </w:r>
            <w:bookmarkEnd w:id="0"/>
          </w:p>
        </w:tc>
        <w:tc>
          <w:tcPr>
            <w:tcW w:w="2543" w:type="dxa"/>
            <w:tcMar>
              <w:left w:w="45" w:type="dxa"/>
              <w:right w:w="45" w:type="dxa"/>
            </w:tcMar>
            <w:vAlign w:val="center"/>
          </w:tcPr>
          <w:p w14:paraId="1F67777A">
            <w:pPr>
              <w:widowControl/>
              <w:spacing w:line="300" w:lineRule="exact"/>
              <w:rPr>
                <w:rFonts w:hint="default" w:ascii="Times New Roman" w:hAnsi="Times New Roman" w:eastAsia="仿宋_GB2312" w:cs="Times New Roman"/>
                <w:bCs/>
                <w:color w:val="auto"/>
                <w:kern w:val="0"/>
                <w:szCs w:val="21"/>
              </w:rPr>
            </w:pPr>
          </w:p>
        </w:tc>
      </w:tr>
      <w:tr w14:paraId="00D35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7F0464A">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8.1.2</w:t>
            </w:r>
          </w:p>
        </w:tc>
        <w:tc>
          <w:tcPr>
            <w:tcW w:w="3703" w:type="dxa"/>
            <w:tcMar>
              <w:left w:w="45" w:type="dxa"/>
              <w:right w:w="45" w:type="dxa"/>
            </w:tcMar>
            <w:vAlign w:val="center"/>
          </w:tcPr>
          <w:p w14:paraId="07C574C1">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给水、排水系统布置合理，运行正常</w:t>
            </w:r>
          </w:p>
        </w:tc>
        <w:tc>
          <w:tcPr>
            <w:tcW w:w="7777" w:type="dxa"/>
            <w:tcMar>
              <w:left w:w="45" w:type="dxa"/>
              <w:right w:w="45" w:type="dxa"/>
            </w:tcMar>
            <w:vAlign w:val="center"/>
          </w:tcPr>
          <w:p w14:paraId="3D1CCADC">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（103）水槽、地漏及下水道畅通，水龙头、上下水管无破损。</w:t>
            </w:r>
          </w:p>
          <w:p w14:paraId="149F1CFC">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（104）各类连接管无老化破损（特别是冷却冷凝系统的橡胶管接口处）。</w:t>
            </w:r>
          </w:p>
          <w:p w14:paraId="3727B8D4">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（105）各楼层及实验室的各级水管总阀须有明显的标识</w:t>
            </w:r>
          </w:p>
        </w:tc>
        <w:tc>
          <w:tcPr>
            <w:tcW w:w="2543" w:type="dxa"/>
            <w:tcMar>
              <w:left w:w="45" w:type="dxa"/>
              <w:right w:w="45" w:type="dxa"/>
            </w:tcMar>
            <w:vAlign w:val="center"/>
          </w:tcPr>
          <w:p w14:paraId="09EA6939">
            <w:pPr>
              <w:widowControl/>
              <w:spacing w:line="300" w:lineRule="exact"/>
              <w:rPr>
                <w:rFonts w:hint="default" w:ascii="Times New Roman" w:hAnsi="Times New Roman" w:eastAsia="仿宋_GB2312" w:cs="Times New Roman"/>
                <w:bCs/>
                <w:color w:val="auto"/>
                <w:kern w:val="0"/>
                <w:szCs w:val="21"/>
              </w:rPr>
            </w:pPr>
          </w:p>
        </w:tc>
      </w:tr>
      <w:tr w14:paraId="29186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70145B9">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8.2</w:t>
            </w:r>
          </w:p>
        </w:tc>
        <w:tc>
          <w:tcPr>
            <w:tcW w:w="14023" w:type="dxa"/>
            <w:gridSpan w:val="3"/>
            <w:tcMar>
              <w:left w:w="45" w:type="dxa"/>
              <w:right w:w="45" w:type="dxa"/>
            </w:tcMar>
            <w:vAlign w:val="center"/>
          </w:tcPr>
          <w:p w14:paraId="16DCA0FA">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个体防护</w:t>
            </w:r>
          </w:p>
        </w:tc>
      </w:tr>
      <w:tr w14:paraId="526A3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7930CFE">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8.2.1</w:t>
            </w:r>
          </w:p>
        </w:tc>
        <w:tc>
          <w:tcPr>
            <w:tcW w:w="3703" w:type="dxa"/>
            <w:tcMar>
              <w:left w:w="45" w:type="dxa"/>
              <w:right w:w="45" w:type="dxa"/>
            </w:tcMar>
            <w:vAlign w:val="center"/>
          </w:tcPr>
          <w:p w14:paraId="4F6640CB">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实验人员须配备合适的个体防护用品</w:t>
            </w:r>
          </w:p>
        </w:tc>
        <w:tc>
          <w:tcPr>
            <w:tcW w:w="7777" w:type="dxa"/>
            <w:tcMar>
              <w:left w:w="45" w:type="dxa"/>
              <w:right w:w="45" w:type="dxa"/>
            </w:tcMar>
            <w:vAlign w:val="center"/>
          </w:tcPr>
          <w:p w14:paraId="20D08164">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（106）进入实验室人员须穿着质地合适的实验服或防护服。</w:t>
            </w:r>
          </w:p>
          <w:p w14:paraId="7A00A467">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（107）</w:t>
            </w:r>
            <w:r>
              <w:rPr>
                <w:rFonts w:hint="default" w:ascii="Times New Roman" w:hAnsi="Times New Roman" w:eastAsia="仿宋_GB2312" w:cs="Times New Roman"/>
                <w:b/>
                <w:bCs/>
                <w:color w:val="auto"/>
                <w:kern w:val="0"/>
                <w:szCs w:val="21"/>
              </w:rPr>
              <w:t>按需要佩戴防护眼镜、防护手套、安全帽、防护帽、呼吸器或面罩（呼吸器或面罩在有效期内，不用时须密封放置）等</w:t>
            </w:r>
            <w:r>
              <w:rPr>
                <w:rFonts w:hint="default" w:ascii="Times New Roman" w:hAnsi="Times New Roman" w:eastAsia="仿宋_GB2312" w:cs="Times New Roman"/>
                <w:color w:val="auto"/>
                <w:kern w:val="0"/>
                <w:szCs w:val="21"/>
              </w:rPr>
              <w:t>。</w:t>
            </w:r>
          </w:p>
          <w:p w14:paraId="05B003C6">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（108）进行化学、生物安全和高温实验时，慎戴隐形眼镜。</w:t>
            </w:r>
          </w:p>
          <w:p w14:paraId="4C8D7C40">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（109）操作机床等旋转设备时，不得佩戴长围巾、丝巾、领带等，长发须盘在工作帽内。</w:t>
            </w:r>
          </w:p>
          <w:p w14:paraId="6AE47B5D">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（110）穿着化学、生物类实验服或戴实验手套时，不得随意进入非实验区</w:t>
            </w:r>
          </w:p>
        </w:tc>
        <w:tc>
          <w:tcPr>
            <w:tcW w:w="2543" w:type="dxa"/>
            <w:tcMar>
              <w:left w:w="45" w:type="dxa"/>
              <w:right w:w="45" w:type="dxa"/>
            </w:tcMar>
            <w:vAlign w:val="center"/>
          </w:tcPr>
          <w:p w14:paraId="5A5D9000">
            <w:pPr>
              <w:widowControl/>
              <w:spacing w:line="300" w:lineRule="exact"/>
              <w:rPr>
                <w:rFonts w:hint="default" w:ascii="Times New Roman" w:hAnsi="Times New Roman" w:eastAsia="仿宋_GB2312" w:cs="Times New Roman"/>
                <w:bCs/>
                <w:color w:val="auto"/>
                <w:kern w:val="0"/>
                <w:szCs w:val="21"/>
              </w:rPr>
            </w:pPr>
          </w:p>
        </w:tc>
      </w:tr>
      <w:tr w14:paraId="65C64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07A5041">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8.2.2</w:t>
            </w:r>
          </w:p>
        </w:tc>
        <w:tc>
          <w:tcPr>
            <w:tcW w:w="3703" w:type="dxa"/>
            <w:tcMar>
              <w:left w:w="45" w:type="dxa"/>
              <w:right w:w="45" w:type="dxa"/>
            </w:tcMar>
            <w:vAlign w:val="center"/>
          </w:tcPr>
          <w:p w14:paraId="7F65BFE0">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个体防护用品合理存放，存放地点有明显标识</w:t>
            </w:r>
          </w:p>
        </w:tc>
        <w:tc>
          <w:tcPr>
            <w:tcW w:w="7777" w:type="dxa"/>
            <w:tcMar>
              <w:left w:w="45" w:type="dxa"/>
              <w:right w:w="45" w:type="dxa"/>
            </w:tcMar>
            <w:vAlign w:val="center"/>
          </w:tcPr>
          <w:p w14:paraId="7D7EF4A6">
            <w:pPr>
              <w:widowControl/>
              <w:spacing w:line="300" w:lineRule="exact"/>
              <w:rPr>
                <w:rFonts w:hint="default" w:ascii="Times New Roman" w:hAnsi="Times New Roman" w:eastAsia="仿宋_GB2312" w:cs="Times New Roman"/>
                <w:bCs/>
                <w:color w:val="auto"/>
                <w:kern w:val="0"/>
                <w:szCs w:val="21"/>
                <w:highlight w:val="yellow"/>
              </w:rPr>
            </w:pPr>
            <w:r>
              <w:rPr>
                <w:rFonts w:hint="default" w:ascii="Times New Roman" w:hAnsi="Times New Roman" w:eastAsia="仿宋_GB2312" w:cs="Times New Roman"/>
                <w:color w:val="auto"/>
                <w:kern w:val="0"/>
                <w:szCs w:val="21"/>
              </w:rPr>
              <w:t>（111）在紧急情况须使用的个体防护器具应分散存放在安全场所，以便于取用</w:t>
            </w:r>
          </w:p>
        </w:tc>
        <w:tc>
          <w:tcPr>
            <w:tcW w:w="2543" w:type="dxa"/>
            <w:tcMar>
              <w:left w:w="45" w:type="dxa"/>
              <w:right w:w="45" w:type="dxa"/>
            </w:tcMar>
            <w:vAlign w:val="center"/>
          </w:tcPr>
          <w:p w14:paraId="0A7C8350">
            <w:pPr>
              <w:widowControl/>
              <w:spacing w:line="300" w:lineRule="exact"/>
              <w:rPr>
                <w:rFonts w:hint="default" w:ascii="Times New Roman" w:hAnsi="Times New Roman" w:eastAsia="仿宋_GB2312" w:cs="Times New Roman"/>
                <w:bCs/>
                <w:color w:val="auto"/>
                <w:kern w:val="0"/>
                <w:szCs w:val="21"/>
              </w:rPr>
            </w:pPr>
          </w:p>
        </w:tc>
      </w:tr>
      <w:tr w14:paraId="67BC5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206D291">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8.2.3</w:t>
            </w:r>
          </w:p>
        </w:tc>
        <w:tc>
          <w:tcPr>
            <w:tcW w:w="3703" w:type="dxa"/>
            <w:tcMar>
              <w:left w:w="45" w:type="dxa"/>
              <w:right w:w="45" w:type="dxa"/>
            </w:tcMar>
            <w:vAlign w:val="center"/>
          </w:tcPr>
          <w:p w14:paraId="5AC8C8C9">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各类个体防护用品的使用有培训及定期检查维护</w:t>
            </w:r>
          </w:p>
        </w:tc>
        <w:tc>
          <w:tcPr>
            <w:tcW w:w="7777" w:type="dxa"/>
            <w:tcMar>
              <w:left w:w="45" w:type="dxa"/>
              <w:right w:w="45" w:type="dxa"/>
            </w:tcMar>
            <w:vAlign w:val="center"/>
          </w:tcPr>
          <w:p w14:paraId="63CBA521">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（112）检查培训及维护记录</w:t>
            </w:r>
          </w:p>
        </w:tc>
        <w:tc>
          <w:tcPr>
            <w:tcW w:w="2543" w:type="dxa"/>
            <w:tcMar>
              <w:left w:w="45" w:type="dxa"/>
              <w:right w:w="45" w:type="dxa"/>
            </w:tcMar>
            <w:vAlign w:val="center"/>
          </w:tcPr>
          <w:p w14:paraId="168AD93A">
            <w:pPr>
              <w:widowControl/>
              <w:spacing w:line="300" w:lineRule="exact"/>
              <w:rPr>
                <w:rFonts w:hint="default" w:ascii="Times New Roman" w:hAnsi="Times New Roman" w:eastAsia="仿宋_GB2312" w:cs="Times New Roman"/>
                <w:bCs/>
                <w:color w:val="auto"/>
                <w:kern w:val="0"/>
                <w:szCs w:val="21"/>
              </w:rPr>
            </w:pPr>
          </w:p>
        </w:tc>
      </w:tr>
      <w:tr w14:paraId="0E309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E9617E4">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b/>
                <w:bCs/>
                <w:color w:val="auto"/>
                <w:kern w:val="0"/>
                <w:szCs w:val="21"/>
              </w:rPr>
              <w:t>8.3</w:t>
            </w:r>
          </w:p>
        </w:tc>
        <w:tc>
          <w:tcPr>
            <w:tcW w:w="14023" w:type="dxa"/>
            <w:gridSpan w:val="3"/>
            <w:tcMar>
              <w:left w:w="45" w:type="dxa"/>
              <w:right w:w="45" w:type="dxa"/>
            </w:tcMar>
            <w:vAlign w:val="center"/>
          </w:tcPr>
          <w:p w14:paraId="1F1F4897">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其他</w:t>
            </w:r>
          </w:p>
        </w:tc>
      </w:tr>
      <w:tr w14:paraId="167E2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9F582CF">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8.3.1</w:t>
            </w:r>
          </w:p>
        </w:tc>
        <w:tc>
          <w:tcPr>
            <w:tcW w:w="3703" w:type="dxa"/>
            <w:tcMar>
              <w:left w:w="45" w:type="dxa"/>
              <w:right w:w="45" w:type="dxa"/>
            </w:tcMar>
            <w:vAlign w:val="center"/>
          </w:tcPr>
          <w:p w14:paraId="5AA8337D">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危险性实验（如高温、高压、高速运转等）时必须有两人在场</w:t>
            </w:r>
          </w:p>
        </w:tc>
        <w:tc>
          <w:tcPr>
            <w:tcW w:w="7777" w:type="dxa"/>
            <w:tcMar>
              <w:left w:w="45" w:type="dxa"/>
              <w:right w:w="45" w:type="dxa"/>
            </w:tcMar>
            <w:vAlign w:val="center"/>
          </w:tcPr>
          <w:p w14:paraId="01CC18A8">
            <w:pPr>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（113）实验时不能脱岗，通宵实验须两人在场并有事先审批制度。改变关键参数的危险实验通过安全评估后，实验时须有实验室负责人或其指定的安全员在场</w:t>
            </w:r>
          </w:p>
        </w:tc>
        <w:tc>
          <w:tcPr>
            <w:tcW w:w="2543" w:type="dxa"/>
            <w:tcMar>
              <w:left w:w="45" w:type="dxa"/>
              <w:right w:w="45" w:type="dxa"/>
            </w:tcMar>
            <w:vAlign w:val="center"/>
          </w:tcPr>
          <w:p w14:paraId="0DDA9B22">
            <w:pPr>
              <w:widowControl/>
              <w:spacing w:line="300" w:lineRule="exact"/>
              <w:rPr>
                <w:rFonts w:hint="default" w:ascii="Times New Roman" w:hAnsi="Times New Roman" w:eastAsia="仿宋_GB2312" w:cs="Times New Roman"/>
                <w:bCs/>
                <w:color w:val="auto"/>
                <w:kern w:val="0"/>
                <w:szCs w:val="21"/>
              </w:rPr>
            </w:pPr>
          </w:p>
        </w:tc>
      </w:tr>
      <w:tr w14:paraId="18E4E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FACD61E">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8.3.2</w:t>
            </w:r>
          </w:p>
        </w:tc>
        <w:tc>
          <w:tcPr>
            <w:tcW w:w="3703" w:type="dxa"/>
            <w:tcMar>
              <w:left w:w="45" w:type="dxa"/>
              <w:right w:w="45" w:type="dxa"/>
            </w:tcMar>
            <w:vAlign w:val="center"/>
          </w:tcPr>
          <w:p w14:paraId="249F3589">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实验台面整洁、实验记录规范</w:t>
            </w:r>
          </w:p>
        </w:tc>
        <w:tc>
          <w:tcPr>
            <w:tcW w:w="7777" w:type="dxa"/>
            <w:tcMar>
              <w:left w:w="45" w:type="dxa"/>
              <w:right w:w="45" w:type="dxa"/>
            </w:tcMar>
            <w:vAlign w:val="center"/>
          </w:tcPr>
          <w:p w14:paraId="0AD58D55">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（114）查看实验台面和实验记录</w:t>
            </w:r>
          </w:p>
        </w:tc>
        <w:tc>
          <w:tcPr>
            <w:tcW w:w="2543" w:type="dxa"/>
            <w:tcMar>
              <w:left w:w="45" w:type="dxa"/>
              <w:right w:w="45" w:type="dxa"/>
            </w:tcMar>
            <w:vAlign w:val="center"/>
          </w:tcPr>
          <w:p w14:paraId="3D9BB113">
            <w:pPr>
              <w:widowControl/>
              <w:spacing w:line="300" w:lineRule="exact"/>
              <w:rPr>
                <w:rFonts w:hint="default" w:ascii="Times New Roman" w:hAnsi="Times New Roman" w:eastAsia="仿宋_GB2312" w:cs="Times New Roman"/>
                <w:bCs/>
                <w:color w:val="auto"/>
                <w:kern w:val="0"/>
                <w:szCs w:val="21"/>
              </w:rPr>
            </w:pPr>
          </w:p>
        </w:tc>
      </w:tr>
      <w:tr w14:paraId="1923D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14E4F10">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9</w:t>
            </w:r>
          </w:p>
        </w:tc>
        <w:tc>
          <w:tcPr>
            <w:tcW w:w="14023" w:type="dxa"/>
            <w:gridSpan w:val="3"/>
            <w:tcMar>
              <w:left w:w="45" w:type="dxa"/>
              <w:right w:w="45" w:type="dxa"/>
            </w:tcMar>
            <w:vAlign w:val="center"/>
          </w:tcPr>
          <w:p w14:paraId="543BE743">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化学安全</w:t>
            </w:r>
          </w:p>
        </w:tc>
      </w:tr>
      <w:tr w14:paraId="64C6B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ED57D9E">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b/>
                <w:bCs/>
                <w:color w:val="auto"/>
                <w:kern w:val="0"/>
                <w:szCs w:val="21"/>
              </w:rPr>
              <w:t>9.1</w:t>
            </w:r>
          </w:p>
        </w:tc>
        <w:tc>
          <w:tcPr>
            <w:tcW w:w="14023" w:type="dxa"/>
            <w:gridSpan w:val="3"/>
            <w:tcMar>
              <w:left w:w="45" w:type="dxa"/>
              <w:right w:w="45" w:type="dxa"/>
            </w:tcMar>
            <w:vAlign w:val="center"/>
          </w:tcPr>
          <w:p w14:paraId="2F40D20B">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危险化学品专用仓库</w:t>
            </w:r>
          </w:p>
        </w:tc>
      </w:tr>
      <w:tr w14:paraId="6BB29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6D883D5">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9.1.1</w:t>
            </w:r>
          </w:p>
        </w:tc>
        <w:tc>
          <w:tcPr>
            <w:tcW w:w="3703" w:type="dxa"/>
            <w:tcMar>
              <w:left w:w="45" w:type="dxa"/>
              <w:right w:w="45" w:type="dxa"/>
            </w:tcMar>
            <w:vAlign w:val="center"/>
          </w:tcPr>
          <w:p w14:paraId="2B465314">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危险化学品</w:t>
            </w:r>
            <w:r>
              <w:rPr>
                <w:rFonts w:hint="default" w:ascii="Times New Roman" w:hAnsi="Times New Roman" w:eastAsia="仿宋_GB2312" w:cs="Times New Roman"/>
                <w:b/>
                <w:color w:val="auto"/>
                <w:kern w:val="0"/>
                <w:szCs w:val="21"/>
              </w:rPr>
              <w:t>专用仓库</w:t>
            </w:r>
            <w:r>
              <w:rPr>
                <w:rFonts w:hint="default" w:ascii="Times New Roman" w:hAnsi="Times New Roman" w:eastAsia="仿宋_GB2312" w:cs="Times New Roman"/>
                <w:color w:val="auto"/>
                <w:kern w:val="0"/>
                <w:szCs w:val="21"/>
              </w:rPr>
              <w:t>应规范管理</w:t>
            </w:r>
          </w:p>
          <w:p w14:paraId="43EDF1CB">
            <w:pPr>
              <w:pStyle w:val="2"/>
              <w:rPr>
                <w:rFonts w:hint="default" w:ascii="Times New Roman" w:hAnsi="Times New Roman" w:eastAsia="仿宋_GB2312" w:cs="Times New Roman"/>
                <w:color w:val="auto"/>
              </w:rPr>
            </w:pPr>
          </w:p>
        </w:tc>
        <w:tc>
          <w:tcPr>
            <w:tcW w:w="7777" w:type="dxa"/>
            <w:tcMar>
              <w:left w:w="45" w:type="dxa"/>
              <w:right w:w="45" w:type="dxa"/>
            </w:tcMar>
            <w:vAlign w:val="center"/>
          </w:tcPr>
          <w:p w14:paraId="1A61D62F">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（115）危险化学品</w:t>
            </w:r>
            <w:r>
              <w:rPr>
                <w:rFonts w:hint="default" w:ascii="Times New Roman" w:hAnsi="Times New Roman" w:eastAsia="仿宋_GB2312" w:cs="Times New Roman"/>
                <w:b/>
                <w:color w:val="auto"/>
                <w:kern w:val="0"/>
                <w:szCs w:val="21"/>
              </w:rPr>
              <w:t>专用仓库</w:t>
            </w:r>
            <w:r>
              <w:rPr>
                <w:rFonts w:hint="default" w:ascii="Times New Roman" w:hAnsi="Times New Roman" w:eastAsia="仿宋_GB2312" w:cs="Times New Roman"/>
                <w:color w:val="auto"/>
                <w:kern w:val="0"/>
                <w:szCs w:val="21"/>
              </w:rPr>
              <w:t>须有通风、隔热、避光、防盗、防爆、防静电、泄漏报警、应急喷淋、安全警示标识等措施，符合相关规定，专人管理。</w:t>
            </w:r>
          </w:p>
          <w:p w14:paraId="36628FF5">
            <w:pPr>
              <w:widowControl/>
              <w:spacing w:line="300" w:lineRule="exact"/>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kern w:val="0"/>
                <w:szCs w:val="21"/>
              </w:rPr>
              <w:t>（116）危险化学品</w:t>
            </w:r>
            <w:r>
              <w:rPr>
                <w:rFonts w:hint="default" w:ascii="Times New Roman" w:hAnsi="Times New Roman" w:eastAsia="仿宋_GB2312" w:cs="Times New Roman"/>
                <w:b/>
                <w:color w:val="auto"/>
                <w:kern w:val="0"/>
                <w:szCs w:val="21"/>
              </w:rPr>
              <w:t>专用仓库</w:t>
            </w:r>
            <w:r>
              <w:rPr>
                <w:rFonts w:hint="default" w:ascii="Times New Roman" w:hAnsi="Times New Roman" w:eastAsia="仿宋_GB2312" w:cs="Times New Roman"/>
                <w:color w:val="auto"/>
                <w:kern w:val="0"/>
                <w:szCs w:val="21"/>
              </w:rPr>
              <w:t>的消防</w:t>
            </w:r>
            <w:r>
              <w:rPr>
                <w:rFonts w:hint="default" w:ascii="Times New Roman" w:hAnsi="Times New Roman" w:eastAsia="仿宋_GB2312" w:cs="Times New Roman"/>
                <w:color w:val="auto"/>
                <w:szCs w:val="21"/>
              </w:rPr>
              <w:t>设施符合国家相关规定，正确配备灭火器材（如灭火器、灭火毯、砂箱、自动喷淋等）。</w:t>
            </w:r>
          </w:p>
          <w:p w14:paraId="7E397D65">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（117）</w:t>
            </w:r>
            <w:r>
              <w:rPr>
                <w:rFonts w:hint="default" w:ascii="Times New Roman" w:hAnsi="Times New Roman" w:eastAsia="仿宋_GB2312" w:cs="Times New Roman"/>
                <w:color w:val="auto"/>
                <w:kern w:val="0"/>
                <w:szCs w:val="21"/>
              </w:rPr>
              <w:t>危险化学品</w:t>
            </w:r>
            <w:r>
              <w:rPr>
                <w:rFonts w:hint="default" w:ascii="Times New Roman" w:hAnsi="Times New Roman" w:eastAsia="仿宋_GB2312" w:cs="Times New Roman"/>
                <w:b/>
                <w:color w:val="auto"/>
                <w:kern w:val="0"/>
                <w:szCs w:val="21"/>
              </w:rPr>
              <w:t>专用仓库</w:t>
            </w:r>
            <w:r>
              <w:rPr>
                <w:rFonts w:hint="default" w:ascii="Times New Roman" w:hAnsi="Times New Roman" w:eastAsia="仿宋_GB2312" w:cs="Times New Roman"/>
                <w:color w:val="auto"/>
                <w:kern w:val="0"/>
                <w:szCs w:val="21"/>
              </w:rPr>
              <w:t>不能建设在地下或半地下，不得建设在实验楼内。若只能在实验楼内存放，则应按照实验室的标准要求管理（见“9.3实验室化学品的存放”）。</w:t>
            </w:r>
          </w:p>
          <w:p w14:paraId="7E8C9242">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（118）危险化学品</w:t>
            </w:r>
            <w:r>
              <w:rPr>
                <w:rFonts w:hint="default" w:ascii="Times New Roman" w:hAnsi="Times New Roman" w:eastAsia="仿宋_GB2312" w:cs="Times New Roman"/>
                <w:b/>
                <w:color w:val="auto"/>
                <w:kern w:val="0"/>
                <w:szCs w:val="21"/>
              </w:rPr>
              <w:t>专用仓库</w:t>
            </w:r>
            <w:r>
              <w:rPr>
                <w:rFonts w:hint="default" w:ascii="Times New Roman" w:hAnsi="Times New Roman" w:eastAsia="仿宋_GB2312" w:cs="Times New Roman"/>
                <w:color w:val="auto"/>
                <w:kern w:val="0"/>
                <w:szCs w:val="21"/>
              </w:rPr>
              <w:t>的试剂不混放，整箱试剂的叠加高度不大于1.5m</w:t>
            </w:r>
          </w:p>
        </w:tc>
        <w:tc>
          <w:tcPr>
            <w:tcW w:w="2543" w:type="dxa"/>
            <w:tcMar>
              <w:left w:w="45" w:type="dxa"/>
              <w:right w:w="45" w:type="dxa"/>
            </w:tcMar>
            <w:vAlign w:val="center"/>
          </w:tcPr>
          <w:p w14:paraId="71D3F6DE">
            <w:pPr>
              <w:widowControl/>
              <w:spacing w:line="300" w:lineRule="exact"/>
              <w:rPr>
                <w:rFonts w:hint="default" w:ascii="Times New Roman" w:hAnsi="Times New Roman" w:eastAsia="仿宋_GB2312" w:cs="Times New Roman"/>
                <w:bCs/>
                <w:color w:val="auto"/>
                <w:kern w:val="0"/>
                <w:szCs w:val="21"/>
              </w:rPr>
            </w:pPr>
          </w:p>
        </w:tc>
      </w:tr>
      <w:tr w14:paraId="72657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E4F6041">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9.2</w:t>
            </w:r>
          </w:p>
        </w:tc>
        <w:tc>
          <w:tcPr>
            <w:tcW w:w="14023" w:type="dxa"/>
            <w:gridSpan w:val="3"/>
            <w:tcMar>
              <w:left w:w="45" w:type="dxa"/>
              <w:right w:w="45" w:type="dxa"/>
            </w:tcMar>
            <w:vAlign w:val="center"/>
          </w:tcPr>
          <w:p w14:paraId="062C73DC">
            <w:pPr>
              <w:widowControl/>
              <w:spacing w:line="300" w:lineRule="exact"/>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危险化学品购置</w:t>
            </w:r>
          </w:p>
        </w:tc>
      </w:tr>
      <w:tr w14:paraId="55E53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9472033">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9.2.1</w:t>
            </w:r>
          </w:p>
        </w:tc>
        <w:tc>
          <w:tcPr>
            <w:tcW w:w="3703" w:type="dxa"/>
            <w:tcMar>
              <w:left w:w="45" w:type="dxa"/>
              <w:right w:w="45" w:type="dxa"/>
            </w:tcMar>
            <w:vAlign w:val="center"/>
          </w:tcPr>
          <w:p w14:paraId="78AB2734">
            <w:pPr>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危险化学品采购须符合要求</w:t>
            </w:r>
          </w:p>
        </w:tc>
        <w:tc>
          <w:tcPr>
            <w:tcW w:w="7777" w:type="dxa"/>
            <w:tcMar>
              <w:left w:w="45" w:type="dxa"/>
              <w:right w:w="45" w:type="dxa"/>
            </w:tcMar>
            <w:vAlign w:val="center"/>
          </w:tcPr>
          <w:p w14:paraId="590BFE8F">
            <w:pPr>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119）危险化学品须向具有生产经营许可资质的单位购买，查看相关供应商的经营许可资质证书复印件，要求提供化学品安全技术说明书。进口危险化学品应当向国务院安全生产监督管理部门负责危险化学品登记的机构办理危险化学品登记</w:t>
            </w:r>
          </w:p>
        </w:tc>
        <w:tc>
          <w:tcPr>
            <w:tcW w:w="2543" w:type="dxa"/>
            <w:tcMar>
              <w:left w:w="45" w:type="dxa"/>
              <w:right w:w="45" w:type="dxa"/>
            </w:tcMar>
            <w:vAlign w:val="center"/>
          </w:tcPr>
          <w:p w14:paraId="3C3199C7">
            <w:pPr>
              <w:spacing w:line="360" w:lineRule="auto"/>
              <w:rPr>
                <w:rFonts w:hint="default" w:ascii="Times New Roman" w:hAnsi="Times New Roman" w:eastAsia="仿宋_GB2312" w:cs="Times New Roman"/>
                <w:color w:val="auto"/>
                <w:szCs w:val="21"/>
              </w:rPr>
            </w:pPr>
          </w:p>
        </w:tc>
      </w:tr>
      <w:tr w14:paraId="14210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62330FB">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9.2.2</w:t>
            </w:r>
          </w:p>
        </w:tc>
        <w:tc>
          <w:tcPr>
            <w:tcW w:w="3703" w:type="dxa"/>
            <w:tcMar>
              <w:left w:w="45" w:type="dxa"/>
              <w:right w:w="45" w:type="dxa"/>
            </w:tcMar>
            <w:vAlign w:val="center"/>
          </w:tcPr>
          <w:p w14:paraId="1F1AF0FE">
            <w:pPr>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剧毒品、易制爆品、易制毒品、爆炸品的购买程序合规</w:t>
            </w:r>
          </w:p>
        </w:tc>
        <w:tc>
          <w:tcPr>
            <w:tcW w:w="7777" w:type="dxa"/>
            <w:tcMar>
              <w:left w:w="45" w:type="dxa"/>
              <w:right w:w="45" w:type="dxa"/>
            </w:tcMar>
            <w:vAlign w:val="center"/>
          </w:tcPr>
          <w:p w14:paraId="679BF1A6">
            <w:pPr>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（120）购买前须经学校审批，报公安机关批准或备案后，向具有经营许可资质的单位购买，并保留报批及审批记录。</w:t>
            </w:r>
          </w:p>
          <w:p w14:paraId="6492620B">
            <w:pPr>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（121）建立购买、验收、使用等台账资料。</w:t>
            </w:r>
          </w:p>
          <w:p w14:paraId="5EC819AF">
            <w:pPr>
              <w:spacing w:line="300" w:lineRule="exact"/>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color w:val="auto"/>
                <w:kern w:val="0"/>
                <w:szCs w:val="21"/>
              </w:rPr>
              <w:t>（122）不得私自从外单位获取管制类化学品，也不得给外单位或个人提供管制化学品</w:t>
            </w:r>
          </w:p>
        </w:tc>
        <w:tc>
          <w:tcPr>
            <w:tcW w:w="2543" w:type="dxa"/>
            <w:tcMar>
              <w:left w:w="45" w:type="dxa"/>
              <w:right w:w="45" w:type="dxa"/>
            </w:tcMar>
            <w:vAlign w:val="center"/>
          </w:tcPr>
          <w:p w14:paraId="3D8E38AC">
            <w:pPr>
              <w:widowControl/>
              <w:spacing w:line="300" w:lineRule="exact"/>
              <w:rPr>
                <w:rFonts w:hint="default" w:ascii="Times New Roman" w:hAnsi="Times New Roman" w:eastAsia="仿宋_GB2312" w:cs="Times New Roman"/>
                <w:bCs/>
                <w:color w:val="auto"/>
                <w:kern w:val="0"/>
                <w:szCs w:val="21"/>
              </w:rPr>
            </w:pPr>
          </w:p>
        </w:tc>
      </w:tr>
      <w:tr w14:paraId="7B33F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10E4C60">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9.2.3</w:t>
            </w:r>
          </w:p>
        </w:tc>
        <w:tc>
          <w:tcPr>
            <w:tcW w:w="3703" w:type="dxa"/>
            <w:tcMar>
              <w:left w:w="45" w:type="dxa"/>
              <w:right w:w="45" w:type="dxa"/>
            </w:tcMar>
            <w:vAlign w:val="center"/>
          </w:tcPr>
          <w:p w14:paraId="2C94D1AC">
            <w:pPr>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麻醉药品、精神药品等购买前须向食品药品监督管理部门申请</w:t>
            </w:r>
          </w:p>
        </w:tc>
        <w:tc>
          <w:tcPr>
            <w:tcW w:w="7777" w:type="dxa"/>
            <w:tcMar>
              <w:left w:w="45" w:type="dxa"/>
              <w:right w:w="45" w:type="dxa"/>
            </w:tcMar>
            <w:vAlign w:val="center"/>
          </w:tcPr>
          <w:p w14:paraId="643C824F">
            <w:pPr>
              <w:spacing w:line="300" w:lineRule="exact"/>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color w:val="auto"/>
                <w:kern w:val="0"/>
                <w:szCs w:val="21"/>
              </w:rPr>
              <w:t>（123）报批同意后向定点供应商或者定点生产企业采购</w:t>
            </w:r>
          </w:p>
        </w:tc>
        <w:tc>
          <w:tcPr>
            <w:tcW w:w="2543" w:type="dxa"/>
            <w:tcMar>
              <w:left w:w="45" w:type="dxa"/>
              <w:right w:w="45" w:type="dxa"/>
            </w:tcMar>
            <w:vAlign w:val="center"/>
          </w:tcPr>
          <w:p w14:paraId="005FEDD7">
            <w:pPr>
              <w:widowControl/>
              <w:spacing w:line="300" w:lineRule="exact"/>
              <w:rPr>
                <w:rFonts w:hint="default" w:ascii="Times New Roman" w:hAnsi="Times New Roman" w:eastAsia="仿宋_GB2312" w:cs="Times New Roman"/>
                <w:bCs/>
                <w:color w:val="auto"/>
                <w:kern w:val="0"/>
                <w:szCs w:val="21"/>
              </w:rPr>
            </w:pPr>
          </w:p>
        </w:tc>
      </w:tr>
      <w:tr w14:paraId="198C8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45BC86B">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9.2.4</w:t>
            </w:r>
          </w:p>
        </w:tc>
        <w:tc>
          <w:tcPr>
            <w:tcW w:w="3703" w:type="dxa"/>
            <w:tcMar>
              <w:left w:w="45" w:type="dxa"/>
              <w:right w:w="45" w:type="dxa"/>
            </w:tcMar>
            <w:vAlign w:val="center"/>
          </w:tcPr>
          <w:p w14:paraId="202477AE">
            <w:pPr>
              <w:autoSpaceDE w:val="0"/>
              <w:autoSpaceDN w:val="0"/>
              <w:adjustRightInd w:val="0"/>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校内危险化学品的运输安全</w:t>
            </w:r>
          </w:p>
        </w:tc>
        <w:tc>
          <w:tcPr>
            <w:tcW w:w="7777" w:type="dxa"/>
            <w:tcMar>
              <w:left w:w="45" w:type="dxa"/>
              <w:right w:w="45" w:type="dxa"/>
            </w:tcMar>
            <w:vAlign w:val="center"/>
          </w:tcPr>
          <w:p w14:paraId="32101AA4">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（124）现场抽查，校园内的运输车辆、运送人员、送货方式等符合相关规范</w:t>
            </w:r>
          </w:p>
        </w:tc>
        <w:tc>
          <w:tcPr>
            <w:tcW w:w="2543" w:type="dxa"/>
            <w:tcMar>
              <w:left w:w="45" w:type="dxa"/>
              <w:right w:w="45" w:type="dxa"/>
            </w:tcMar>
            <w:vAlign w:val="center"/>
          </w:tcPr>
          <w:p w14:paraId="2EDAC38C">
            <w:pPr>
              <w:widowControl/>
              <w:spacing w:line="300" w:lineRule="exact"/>
              <w:rPr>
                <w:rFonts w:hint="default" w:ascii="Times New Roman" w:hAnsi="Times New Roman" w:eastAsia="仿宋_GB2312" w:cs="Times New Roman"/>
                <w:bCs/>
                <w:color w:val="auto"/>
                <w:kern w:val="0"/>
                <w:szCs w:val="21"/>
              </w:rPr>
            </w:pPr>
          </w:p>
        </w:tc>
      </w:tr>
      <w:tr w14:paraId="7A0FC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023178F">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9.3</w:t>
            </w:r>
          </w:p>
        </w:tc>
        <w:tc>
          <w:tcPr>
            <w:tcW w:w="14023" w:type="dxa"/>
            <w:gridSpan w:val="3"/>
            <w:tcMar>
              <w:left w:w="45" w:type="dxa"/>
              <w:right w:w="45" w:type="dxa"/>
            </w:tcMar>
            <w:vAlign w:val="center"/>
          </w:tcPr>
          <w:p w14:paraId="1D4BA543">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实验室化学品存放</w:t>
            </w:r>
          </w:p>
        </w:tc>
      </w:tr>
      <w:tr w14:paraId="11A7E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B3025DE">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9.3.1</w:t>
            </w:r>
          </w:p>
        </w:tc>
        <w:tc>
          <w:tcPr>
            <w:tcW w:w="3703" w:type="dxa"/>
            <w:tcMar>
              <w:left w:w="45" w:type="dxa"/>
              <w:right w:w="45" w:type="dxa"/>
            </w:tcMar>
            <w:vAlign w:val="center"/>
          </w:tcPr>
          <w:p w14:paraId="11299064">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color w:val="auto"/>
                <w:kern w:val="0"/>
                <w:szCs w:val="21"/>
              </w:rPr>
              <w:t>实验室内危险化学品建有动态台账</w:t>
            </w:r>
          </w:p>
        </w:tc>
        <w:tc>
          <w:tcPr>
            <w:tcW w:w="7777" w:type="dxa"/>
            <w:tcMar>
              <w:left w:w="45" w:type="dxa"/>
              <w:right w:w="45" w:type="dxa"/>
            </w:tcMar>
            <w:vAlign w:val="center"/>
          </w:tcPr>
          <w:p w14:paraId="0294FE89">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（125）建立实验室危险化学品动态台账，并有危险化学品安全技术说明书（SDS）或安全周知卡，方便查阅。</w:t>
            </w:r>
          </w:p>
          <w:p w14:paraId="28F575B5">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（126）定期清理废旧试剂，无累积现象</w:t>
            </w:r>
          </w:p>
        </w:tc>
        <w:tc>
          <w:tcPr>
            <w:tcW w:w="2543" w:type="dxa"/>
            <w:tcMar>
              <w:left w:w="45" w:type="dxa"/>
              <w:right w:w="45" w:type="dxa"/>
            </w:tcMar>
            <w:vAlign w:val="center"/>
          </w:tcPr>
          <w:p w14:paraId="6BB1737A">
            <w:pPr>
              <w:spacing w:line="360" w:lineRule="auto"/>
              <w:rPr>
                <w:rFonts w:hint="default" w:ascii="Times New Roman" w:hAnsi="Times New Roman" w:eastAsia="仿宋_GB2312" w:cs="Times New Roman"/>
                <w:color w:val="auto"/>
                <w:szCs w:val="21"/>
              </w:rPr>
            </w:pPr>
          </w:p>
        </w:tc>
      </w:tr>
      <w:tr w14:paraId="6316C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269330C">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9.3.2</w:t>
            </w:r>
          </w:p>
        </w:tc>
        <w:tc>
          <w:tcPr>
            <w:tcW w:w="3703" w:type="dxa"/>
            <w:tcMar>
              <w:left w:w="45" w:type="dxa"/>
              <w:right w:w="45" w:type="dxa"/>
            </w:tcMar>
            <w:vAlign w:val="center"/>
          </w:tcPr>
          <w:p w14:paraId="48D8597B">
            <w:pPr>
              <w:widowControl/>
              <w:spacing w:line="300" w:lineRule="exact"/>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化学品有专用存放空间并科学有序存放</w:t>
            </w:r>
          </w:p>
        </w:tc>
        <w:tc>
          <w:tcPr>
            <w:tcW w:w="7777" w:type="dxa"/>
            <w:tcMar>
              <w:left w:w="45" w:type="dxa"/>
              <w:right w:w="45" w:type="dxa"/>
            </w:tcMar>
            <w:vAlign w:val="center"/>
          </w:tcPr>
          <w:p w14:paraId="2EEDA2EB">
            <w:pPr>
              <w:widowControl/>
              <w:rPr>
                <w:rFonts w:hint="default" w:ascii="Times New Roman" w:hAnsi="Times New Roman" w:eastAsia="仿宋_GB2312" w:cs="Times New Roman"/>
                <w:color w:val="auto"/>
                <w:kern w:val="0"/>
              </w:rPr>
            </w:pPr>
            <w:r>
              <w:rPr>
                <w:rFonts w:hint="default" w:ascii="Times New Roman" w:hAnsi="Times New Roman" w:eastAsia="仿宋_GB2312" w:cs="Times New Roman"/>
                <w:color w:val="auto"/>
              </w:rPr>
              <w:t>（127）</w:t>
            </w:r>
            <w:r>
              <w:rPr>
                <w:rFonts w:hint="default" w:ascii="Times New Roman" w:hAnsi="Times New Roman" w:eastAsia="仿宋_GB2312" w:cs="Times New Roman"/>
                <w:b/>
                <w:bCs/>
                <w:color w:val="auto"/>
              </w:rPr>
              <w:t>危险化学品应当储存在专用储存室或储存专柜内，并由专人负责管理</w:t>
            </w:r>
            <w:r>
              <w:rPr>
                <w:rFonts w:hint="default" w:ascii="Times New Roman" w:hAnsi="Times New Roman" w:eastAsia="仿宋_GB2312" w:cs="Times New Roman"/>
                <w:b/>
                <w:bCs/>
                <w:color w:val="auto"/>
                <w:kern w:val="0"/>
              </w:rPr>
              <w:t>。</w:t>
            </w:r>
          </w:p>
          <w:p w14:paraId="4478F136">
            <w:pPr>
              <w:widowControl/>
              <w:rPr>
                <w:rFonts w:hint="default" w:ascii="Times New Roman" w:hAnsi="Times New Roman" w:eastAsia="仿宋_GB2312" w:cs="Times New Roman"/>
                <w:color w:val="auto"/>
                <w:kern w:val="0"/>
              </w:rPr>
            </w:pPr>
            <w:r>
              <w:rPr>
                <w:rFonts w:hint="default" w:ascii="Times New Roman" w:hAnsi="Times New Roman" w:eastAsia="仿宋_GB2312" w:cs="Times New Roman"/>
                <w:color w:val="auto"/>
                <w:kern w:val="0"/>
              </w:rPr>
              <w:t>（128）</w:t>
            </w:r>
            <w:r>
              <w:rPr>
                <w:rFonts w:hint="default" w:ascii="Times New Roman" w:hAnsi="Times New Roman" w:eastAsia="仿宋_GB2312" w:cs="Times New Roman"/>
                <w:color w:val="auto"/>
              </w:rPr>
              <w:t>储藏室、储藏区、储存柜等</w:t>
            </w:r>
            <w:r>
              <w:rPr>
                <w:rFonts w:hint="default" w:ascii="Times New Roman" w:hAnsi="Times New Roman" w:eastAsia="仿宋_GB2312" w:cs="Times New Roman"/>
                <w:bCs/>
                <w:color w:val="auto"/>
                <w:kern w:val="0"/>
              </w:rPr>
              <w:t>应</w:t>
            </w:r>
            <w:r>
              <w:rPr>
                <w:rFonts w:hint="default" w:ascii="Times New Roman" w:hAnsi="Times New Roman" w:eastAsia="仿宋_GB2312" w:cs="Times New Roman"/>
                <w:color w:val="auto"/>
                <w:kern w:val="0"/>
              </w:rPr>
              <w:t>通风、隔热、避免阳光直射，易泄漏、易挥发的试剂存放设备与地点应保证充足的通风。</w:t>
            </w:r>
          </w:p>
          <w:p w14:paraId="6ECA8DE4">
            <w:pPr>
              <w:widowControl/>
              <w:rPr>
                <w:rFonts w:hint="default" w:ascii="Times New Roman" w:hAnsi="Times New Roman" w:eastAsia="仿宋_GB2312" w:cs="Times New Roman"/>
                <w:color w:val="auto"/>
                <w:kern w:val="0"/>
              </w:rPr>
            </w:pPr>
            <w:r>
              <w:rPr>
                <w:rFonts w:hint="default" w:ascii="Times New Roman" w:hAnsi="Times New Roman" w:eastAsia="仿宋_GB2312" w:cs="Times New Roman"/>
                <w:color w:val="auto"/>
                <w:kern w:val="0"/>
              </w:rPr>
              <w:t>（129）试剂柜中不能有电源插座或接线板。</w:t>
            </w:r>
          </w:p>
          <w:p w14:paraId="6BB24588">
            <w:pPr>
              <w:widowControl/>
              <w:rPr>
                <w:rFonts w:hint="default" w:ascii="Times New Roman" w:hAnsi="Times New Roman" w:eastAsia="仿宋_GB2312" w:cs="Times New Roman"/>
                <w:color w:val="auto"/>
                <w:kern w:val="0"/>
              </w:rPr>
            </w:pPr>
            <w:r>
              <w:rPr>
                <w:rFonts w:hint="default" w:ascii="Times New Roman" w:hAnsi="Times New Roman" w:eastAsia="仿宋_GB2312" w:cs="Times New Roman"/>
                <w:color w:val="auto"/>
                <w:kern w:val="0"/>
              </w:rPr>
              <w:t>（130）化学品有序分类存放，固体、液体不混乱放置，互为禁忌的化学品不得混放，试剂不得叠放。有机溶剂储存区应远离热源和火源。装有试剂的试剂瓶不得开口放置。实验台架无挡板不得存放化学试剂。</w:t>
            </w:r>
          </w:p>
          <w:p w14:paraId="31226D37">
            <w:pPr>
              <w:widowControl/>
              <w:rPr>
                <w:rFonts w:hint="default" w:ascii="Times New Roman" w:hAnsi="Times New Roman" w:eastAsia="仿宋_GB2312" w:cs="Times New Roman"/>
                <w:color w:val="auto"/>
                <w:kern w:val="0"/>
              </w:rPr>
            </w:pPr>
            <w:r>
              <w:rPr>
                <w:rFonts w:hint="default" w:ascii="Times New Roman" w:hAnsi="Times New Roman" w:eastAsia="仿宋_GB2312" w:cs="Times New Roman"/>
                <w:color w:val="auto"/>
                <w:kern w:val="0"/>
              </w:rPr>
              <w:t>（131）配备必要的二次泄漏防护、吸附或防溢流功能</w:t>
            </w:r>
          </w:p>
        </w:tc>
        <w:tc>
          <w:tcPr>
            <w:tcW w:w="2543" w:type="dxa"/>
            <w:tcMar>
              <w:left w:w="45" w:type="dxa"/>
              <w:right w:w="45" w:type="dxa"/>
            </w:tcMar>
            <w:vAlign w:val="center"/>
          </w:tcPr>
          <w:p w14:paraId="10C4A5BC">
            <w:pPr>
              <w:widowControl/>
              <w:spacing w:line="300" w:lineRule="exact"/>
              <w:rPr>
                <w:rFonts w:hint="default" w:ascii="Times New Roman" w:hAnsi="Times New Roman" w:eastAsia="仿宋_GB2312" w:cs="Times New Roman"/>
                <w:bCs/>
                <w:color w:val="auto"/>
                <w:kern w:val="0"/>
                <w:szCs w:val="21"/>
              </w:rPr>
            </w:pPr>
          </w:p>
        </w:tc>
      </w:tr>
      <w:tr w14:paraId="144B5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CC733EF">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9.3.3</w:t>
            </w:r>
          </w:p>
        </w:tc>
        <w:tc>
          <w:tcPr>
            <w:tcW w:w="3703" w:type="dxa"/>
            <w:tcMar>
              <w:left w:w="45" w:type="dxa"/>
              <w:right w:w="45" w:type="dxa"/>
            </w:tcMar>
            <w:vAlign w:val="center"/>
          </w:tcPr>
          <w:p w14:paraId="012061B2">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实验室内存放的危险化学品总量符合规定要求</w:t>
            </w:r>
          </w:p>
        </w:tc>
        <w:tc>
          <w:tcPr>
            <w:tcW w:w="7777" w:type="dxa"/>
            <w:tcMar>
              <w:left w:w="45" w:type="dxa"/>
              <w:right w:w="45" w:type="dxa"/>
            </w:tcMar>
            <w:vAlign w:val="center"/>
          </w:tcPr>
          <w:p w14:paraId="5250A588">
            <w:pPr>
              <w:rPr>
                <w:rFonts w:hint="default" w:ascii="Times New Roman" w:hAnsi="Times New Roman" w:eastAsia="仿宋_GB2312" w:cs="Times New Roman"/>
                <w:color w:val="auto"/>
                <w:kern w:val="0"/>
              </w:rPr>
            </w:pPr>
            <w:r>
              <w:rPr>
                <w:rFonts w:hint="default" w:ascii="Times New Roman" w:hAnsi="Times New Roman" w:eastAsia="仿宋_GB2312" w:cs="Times New Roman"/>
                <w:color w:val="auto"/>
                <w:kern w:val="0"/>
                <w:szCs w:val="21"/>
              </w:rPr>
              <w:t>（132）</w:t>
            </w:r>
            <w:r>
              <w:rPr>
                <w:rFonts w:hint="default" w:ascii="Times New Roman" w:hAnsi="Times New Roman" w:eastAsia="仿宋_GB2312" w:cs="Times New Roman"/>
                <w:b/>
                <w:bCs/>
                <w:color w:val="auto"/>
                <w:kern w:val="0"/>
                <w:szCs w:val="21"/>
              </w:rPr>
              <w:t>同一防火单元内，危险化学品（不含压缩气体和液化气体）原则上不应超过100L或100Kg，其中易燃易爆性化学品的存放总量不应超过50L或50Kg，且单一包装容器不应大于25L或25Kg</w:t>
            </w:r>
            <w:r>
              <w:rPr>
                <w:rFonts w:hint="default" w:ascii="Times New Roman" w:hAnsi="Times New Roman" w:eastAsia="仿宋_GB2312" w:cs="Times New Roman"/>
                <w:color w:val="auto"/>
                <w:kern w:val="0"/>
              </w:rPr>
              <w:t>。</w:t>
            </w:r>
          </w:p>
          <w:p w14:paraId="7AEB3143">
            <w:pPr>
              <w:rPr>
                <w:rFonts w:hint="default" w:ascii="Times New Roman" w:hAnsi="Times New Roman" w:eastAsia="仿宋_GB2312" w:cs="Times New Roman"/>
                <w:color w:val="auto"/>
                <w:kern w:val="0"/>
              </w:rPr>
            </w:pPr>
            <w:r>
              <w:rPr>
                <w:rFonts w:hint="default" w:ascii="Times New Roman" w:hAnsi="Times New Roman" w:eastAsia="仿宋_GB2312" w:cs="Times New Roman"/>
                <w:color w:val="auto"/>
                <w:kern w:val="0"/>
              </w:rPr>
              <w:t>（133）常年大量使用易燃易爆溶剂或气体须加装泄漏报警器，储存部位应加装常时排风或与检测报警联动排风装置</w:t>
            </w:r>
          </w:p>
        </w:tc>
        <w:tc>
          <w:tcPr>
            <w:tcW w:w="2543" w:type="dxa"/>
            <w:tcMar>
              <w:left w:w="45" w:type="dxa"/>
              <w:right w:w="45" w:type="dxa"/>
            </w:tcMar>
            <w:vAlign w:val="center"/>
          </w:tcPr>
          <w:p w14:paraId="2BCDE15C">
            <w:pPr>
              <w:widowControl/>
              <w:spacing w:line="300" w:lineRule="exact"/>
              <w:rPr>
                <w:rFonts w:hint="default" w:ascii="Times New Roman" w:hAnsi="Times New Roman" w:eastAsia="仿宋_GB2312" w:cs="Times New Roman"/>
                <w:bCs/>
                <w:color w:val="auto"/>
                <w:kern w:val="0"/>
                <w:szCs w:val="21"/>
              </w:rPr>
            </w:pPr>
          </w:p>
        </w:tc>
      </w:tr>
      <w:tr w14:paraId="5F05B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857576E">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9.3.4</w:t>
            </w:r>
          </w:p>
        </w:tc>
        <w:tc>
          <w:tcPr>
            <w:tcW w:w="3703" w:type="dxa"/>
            <w:tcMar>
              <w:left w:w="45" w:type="dxa"/>
              <w:right w:w="45" w:type="dxa"/>
            </w:tcMar>
            <w:vAlign w:val="center"/>
          </w:tcPr>
          <w:p w14:paraId="39C1E7A9">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化学品标签应显著、完整、清晰</w:t>
            </w:r>
          </w:p>
        </w:tc>
        <w:tc>
          <w:tcPr>
            <w:tcW w:w="7777" w:type="dxa"/>
            <w:tcMar>
              <w:left w:w="45" w:type="dxa"/>
              <w:right w:w="45" w:type="dxa"/>
            </w:tcMar>
            <w:vAlign w:val="center"/>
          </w:tcPr>
          <w:p w14:paraId="5EE109EC">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（134）化学品包装物上须有符合规定的化学品标签。</w:t>
            </w:r>
          </w:p>
          <w:p w14:paraId="7A46802B">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（135）当化学品由原包装物转移或分装到其他包装物内时，转移或分装后的包装物应及时重新粘贴标识。化学品标签脱落、</w:t>
            </w:r>
            <w:r>
              <w:rPr>
                <w:rFonts w:hint="default" w:ascii="Times New Roman" w:hAnsi="Times New Roman" w:eastAsia="仿宋_GB2312" w:cs="Times New Roman"/>
                <w:bCs/>
                <w:color w:val="auto"/>
                <w:kern w:val="0"/>
                <w:szCs w:val="21"/>
              </w:rPr>
              <w:t>模糊、腐蚀</w:t>
            </w:r>
            <w:r>
              <w:rPr>
                <w:rFonts w:hint="default" w:ascii="Times New Roman" w:hAnsi="Times New Roman" w:eastAsia="仿宋_GB2312" w:cs="Times New Roman"/>
                <w:color w:val="auto"/>
                <w:kern w:val="0"/>
                <w:szCs w:val="21"/>
              </w:rPr>
              <w:t>后应及时补上，如不能确认，则按不明废弃化学品处置</w:t>
            </w:r>
          </w:p>
        </w:tc>
        <w:tc>
          <w:tcPr>
            <w:tcW w:w="2543" w:type="dxa"/>
            <w:tcMar>
              <w:left w:w="45" w:type="dxa"/>
              <w:right w:w="45" w:type="dxa"/>
            </w:tcMar>
            <w:vAlign w:val="center"/>
          </w:tcPr>
          <w:p w14:paraId="7DAFDEDD">
            <w:pPr>
              <w:widowControl/>
              <w:spacing w:line="300" w:lineRule="exact"/>
              <w:rPr>
                <w:rFonts w:hint="default" w:ascii="Times New Roman" w:hAnsi="Times New Roman" w:eastAsia="仿宋_GB2312" w:cs="Times New Roman"/>
                <w:bCs/>
                <w:color w:val="auto"/>
                <w:kern w:val="0"/>
                <w:szCs w:val="21"/>
              </w:rPr>
            </w:pPr>
          </w:p>
        </w:tc>
      </w:tr>
      <w:tr w14:paraId="17BD9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A5E4C04">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9.3.5</w:t>
            </w:r>
          </w:p>
        </w:tc>
        <w:tc>
          <w:tcPr>
            <w:tcW w:w="3703" w:type="dxa"/>
            <w:tcMar>
              <w:left w:w="45" w:type="dxa"/>
              <w:right w:w="45" w:type="dxa"/>
            </w:tcMar>
            <w:vAlign w:val="center"/>
          </w:tcPr>
          <w:p w14:paraId="0E973D14">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bCs/>
                <w:color w:val="auto"/>
                <w:kern w:val="0"/>
                <w:szCs w:val="21"/>
              </w:rPr>
              <w:t>其他存放要求</w:t>
            </w:r>
          </w:p>
        </w:tc>
        <w:tc>
          <w:tcPr>
            <w:tcW w:w="7777" w:type="dxa"/>
            <w:tcMar>
              <w:left w:w="45" w:type="dxa"/>
              <w:right w:w="45" w:type="dxa"/>
            </w:tcMar>
            <w:vAlign w:val="center"/>
          </w:tcPr>
          <w:p w14:paraId="5B0ED30C">
            <w:pPr>
              <w:widowControl/>
              <w:rPr>
                <w:rFonts w:hint="default" w:ascii="Times New Roman" w:hAnsi="Times New Roman" w:eastAsia="仿宋_GB2312" w:cs="Times New Roman"/>
                <w:color w:val="auto"/>
                <w:kern w:val="0"/>
              </w:rPr>
            </w:pPr>
            <w:r>
              <w:rPr>
                <w:rFonts w:hint="default" w:ascii="Times New Roman" w:hAnsi="Times New Roman" w:eastAsia="仿宋_GB2312" w:cs="Times New Roman"/>
                <w:color w:val="auto"/>
                <w:kern w:val="0"/>
              </w:rPr>
              <w:t>（136）装有配制试剂、合成品、样品等的容器上标签信息明确，标签信息包括名称或编号、使用人、日期等。</w:t>
            </w:r>
          </w:p>
          <w:p w14:paraId="62C368B2">
            <w:pPr>
              <w:widowControl/>
              <w:rPr>
                <w:rFonts w:hint="default" w:ascii="Times New Roman" w:hAnsi="Times New Roman" w:eastAsia="仿宋_GB2312" w:cs="Times New Roman"/>
                <w:color w:val="auto"/>
                <w:kern w:val="0"/>
              </w:rPr>
            </w:pPr>
            <w:r>
              <w:rPr>
                <w:rFonts w:hint="default" w:ascii="Times New Roman" w:hAnsi="Times New Roman" w:eastAsia="仿宋_GB2312" w:cs="Times New Roman"/>
                <w:color w:val="auto"/>
                <w:kern w:val="0"/>
              </w:rPr>
              <w:t>（137）无使用饮料瓶存放试剂、样品的现象，如确需使用，必须撕去原包装纸，并贴试剂标签。</w:t>
            </w:r>
          </w:p>
          <w:p w14:paraId="7D945FBC">
            <w:pPr>
              <w:widowControl/>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（138）</w:t>
            </w:r>
            <w:r>
              <w:rPr>
                <w:rFonts w:hint="default" w:ascii="Times New Roman" w:hAnsi="Times New Roman" w:eastAsia="仿宋_GB2312" w:cs="Times New Roman"/>
                <w:color w:val="auto"/>
                <w:kern w:val="0"/>
                <w:szCs w:val="21"/>
              </w:rPr>
              <w:t>不使用破损量筒、试管、移液管等玻璃器皿</w:t>
            </w:r>
          </w:p>
        </w:tc>
        <w:tc>
          <w:tcPr>
            <w:tcW w:w="2543" w:type="dxa"/>
            <w:tcMar>
              <w:left w:w="45" w:type="dxa"/>
              <w:right w:w="45" w:type="dxa"/>
            </w:tcMar>
            <w:vAlign w:val="center"/>
          </w:tcPr>
          <w:p w14:paraId="40299ECA">
            <w:pPr>
              <w:widowControl/>
              <w:spacing w:line="300" w:lineRule="exact"/>
              <w:rPr>
                <w:rFonts w:hint="default" w:ascii="Times New Roman" w:hAnsi="Times New Roman" w:eastAsia="仿宋_GB2312" w:cs="Times New Roman"/>
                <w:bCs/>
                <w:color w:val="auto"/>
                <w:kern w:val="0"/>
                <w:szCs w:val="21"/>
              </w:rPr>
            </w:pPr>
          </w:p>
        </w:tc>
      </w:tr>
      <w:tr w14:paraId="31DD7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E4A9AC1">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9.4</w:t>
            </w:r>
          </w:p>
        </w:tc>
        <w:tc>
          <w:tcPr>
            <w:tcW w:w="14023" w:type="dxa"/>
            <w:gridSpan w:val="3"/>
            <w:tcMar>
              <w:left w:w="45" w:type="dxa"/>
              <w:right w:w="45" w:type="dxa"/>
            </w:tcMar>
            <w:vAlign w:val="center"/>
          </w:tcPr>
          <w:p w14:paraId="6F1FCBE1">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实验操作安全</w:t>
            </w:r>
          </w:p>
        </w:tc>
      </w:tr>
      <w:tr w14:paraId="30B5E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8C1265F">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9.4.1</w:t>
            </w:r>
          </w:p>
        </w:tc>
        <w:tc>
          <w:tcPr>
            <w:tcW w:w="3703" w:type="dxa"/>
            <w:tcMar>
              <w:left w:w="45" w:type="dxa"/>
              <w:right w:w="45" w:type="dxa"/>
            </w:tcMar>
            <w:vAlign w:val="center"/>
          </w:tcPr>
          <w:p w14:paraId="44E9C94D">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制定危险实验、危险化工工艺指导书、各类标准操作规程（SOP）、应急预案</w:t>
            </w:r>
          </w:p>
        </w:tc>
        <w:tc>
          <w:tcPr>
            <w:tcW w:w="7777" w:type="dxa"/>
            <w:tcMar>
              <w:left w:w="45" w:type="dxa"/>
              <w:right w:w="45" w:type="dxa"/>
            </w:tcMar>
            <w:vAlign w:val="center"/>
          </w:tcPr>
          <w:p w14:paraId="57DC710D">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（139）危险化工工艺指导书和应急预案上墙或便于取阅，实验人员熟悉所涉及的危险性及应急处理措施，按照危险化工工艺指导书进行实验</w:t>
            </w:r>
          </w:p>
        </w:tc>
        <w:tc>
          <w:tcPr>
            <w:tcW w:w="2543" w:type="dxa"/>
            <w:tcMar>
              <w:left w:w="45" w:type="dxa"/>
              <w:right w:w="45" w:type="dxa"/>
            </w:tcMar>
            <w:vAlign w:val="center"/>
          </w:tcPr>
          <w:p w14:paraId="3EE9F702">
            <w:pPr>
              <w:widowControl/>
              <w:spacing w:line="300" w:lineRule="exact"/>
              <w:rPr>
                <w:rFonts w:hint="default" w:ascii="Times New Roman" w:hAnsi="Times New Roman" w:eastAsia="仿宋_GB2312" w:cs="Times New Roman"/>
                <w:bCs/>
                <w:color w:val="auto"/>
                <w:kern w:val="0"/>
                <w:szCs w:val="21"/>
              </w:rPr>
            </w:pPr>
          </w:p>
        </w:tc>
      </w:tr>
      <w:tr w14:paraId="4052E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D983DF7">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9.4.2</w:t>
            </w:r>
          </w:p>
        </w:tc>
        <w:tc>
          <w:tcPr>
            <w:tcW w:w="3703" w:type="dxa"/>
            <w:tcMar>
              <w:left w:w="45" w:type="dxa"/>
              <w:right w:w="45" w:type="dxa"/>
            </w:tcMar>
            <w:vAlign w:val="center"/>
          </w:tcPr>
          <w:p w14:paraId="648E1B19">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特别关注危险化学工艺和装置</w:t>
            </w:r>
          </w:p>
        </w:tc>
        <w:tc>
          <w:tcPr>
            <w:tcW w:w="7777" w:type="dxa"/>
            <w:tcMar>
              <w:left w:w="45" w:type="dxa"/>
              <w:right w:w="45" w:type="dxa"/>
            </w:tcMar>
            <w:vAlign w:val="center"/>
          </w:tcPr>
          <w:p w14:paraId="3AB27D47">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（140）</w:t>
            </w:r>
            <w:r>
              <w:rPr>
                <w:rFonts w:hint="default" w:ascii="Times New Roman" w:hAnsi="Times New Roman" w:eastAsia="仿宋_GB2312" w:cs="Times New Roman"/>
                <w:b/>
                <w:bCs/>
                <w:color w:val="auto"/>
                <w:kern w:val="0"/>
                <w:szCs w:val="21"/>
              </w:rPr>
              <w:t>涉及危险化工工艺、重点监管危险化学品的反应装置应设置自动化控制系统，锂电池研究区域应远离其他可燃物品。</w:t>
            </w:r>
          </w:p>
          <w:p w14:paraId="6C7CD58C">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（141）涉及放热反应的危险化工工艺生产装置应设置双重电源供电或控制系统应配置不间断电源</w:t>
            </w:r>
          </w:p>
        </w:tc>
        <w:tc>
          <w:tcPr>
            <w:tcW w:w="2543" w:type="dxa"/>
            <w:tcMar>
              <w:left w:w="45" w:type="dxa"/>
              <w:right w:w="45" w:type="dxa"/>
            </w:tcMar>
            <w:vAlign w:val="center"/>
          </w:tcPr>
          <w:p w14:paraId="0C194403">
            <w:pPr>
              <w:widowControl/>
              <w:spacing w:line="300" w:lineRule="exact"/>
              <w:rPr>
                <w:rFonts w:hint="default" w:ascii="Times New Roman" w:hAnsi="Times New Roman" w:eastAsia="仿宋_GB2312" w:cs="Times New Roman"/>
                <w:bCs/>
                <w:color w:val="auto"/>
                <w:kern w:val="0"/>
                <w:szCs w:val="21"/>
              </w:rPr>
            </w:pPr>
          </w:p>
        </w:tc>
      </w:tr>
      <w:tr w14:paraId="45319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8609E46">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9.4.3</w:t>
            </w:r>
          </w:p>
        </w:tc>
        <w:tc>
          <w:tcPr>
            <w:tcW w:w="3703" w:type="dxa"/>
            <w:tcMar>
              <w:left w:w="45" w:type="dxa"/>
              <w:right w:w="45" w:type="dxa"/>
            </w:tcMar>
            <w:vAlign w:val="center"/>
          </w:tcPr>
          <w:p w14:paraId="3DA4CA9B">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做好有毒有害废气的处理和防护</w:t>
            </w:r>
          </w:p>
        </w:tc>
        <w:tc>
          <w:tcPr>
            <w:tcW w:w="7777" w:type="dxa"/>
            <w:tcMar>
              <w:left w:w="45" w:type="dxa"/>
              <w:right w:w="45" w:type="dxa"/>
            </w:tcMar>
            <w:vAlign w:val="center"/>
          </w:tcPr>
          <w:p w14:paraId="75FD7AB7">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（142）对于产生有毒有害废气的实验，须在通风柜中进行，并在实验装置尾端配有气体吸收装置，操作者佩戴合适有效的呼吸防护用具</w:t>
            </w:r>
          </w:p>
        </w:tc>
        <w:tc>
          <w:tcPr>
            <w:tcW w:w="2543" w:type="dxa"/>
            <w:tcMar>
              <w:left w:w="45" w:type="dxa"/>
              <w:right w:w="45" w:type="dxa"/>
            </w:tcMar>
            <w:vAlign w:val="center"/>
          </w:tcPr>
          <w:p w14:paraId="1859B997">
            <w:pPr>
              <w:widowControl/>
              <w:spacing w:line="300" w:lineRule="exact"/>
              <w:rPr>
                <w:rFonts w:hint="default" w:ascii="Times New Roman" w:hAnsi="Times New Roman" w:eastAsia="仿宋_GB2312" w:cs="Times New Roman"/>
                <w:color w:val="auto"/>
                <w:kern w:val="0"/>
                <w:szCs w:val="21"/>
              </w:rPr>
            </w:pPr>
          </w:p>
        </w:tc>
      </w:tr>
      <w:tr w14:paraId="73447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AF23696">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9.5</w:t>
            </w:r>
          </w:p>
        </w:tc>
        <w:tc>
          <w:tcPr>
            <w:tcW w:w="14023" w:type="dxa"/>
            <w:gridSpan w:val="3"/>
            <w:tcMar>
              <w:left w:w="45" w:type="dxa"/>
              <w:right w:w="45" w:type="dxa"/>
            </w:tcMar>
            <w:vAlign w:val="center"/>
          </w:tcPr>
          <w:p w14:paraId="5924C91F">
            <w:pPr>
              <w:spacing w:line="300" w:lineRule="exact"/>
              <w:rPr>
                <w:rFonts w:hint="default" w:ascii="Times New Roman" w:hAnsi="Times New Roman" w:eastAsia="仿宋_GB2312" w:cs="Times New Roman"/>
                <w:b/>
                <w:color w:val="auto"/>
                <w:szCs w:val="21"/>
              </w:rPr>
            </w:pPr>
            <w:r>
              <w:rPr>
                <w:rFonts w:hint="default" w:ascii="Times New Roman" w:hAnsi="Times New Roman" w:eastAsia="仿宋_GB2312" w:cs="Times New Roman"/>
                <w:b/>
                <w:color w:val="auto"/>
                <w:kern w:val="0"/>
                <w:szCs w:val="21"/>
              </w:rPr>
              <w:t>管制类化学品管理</w:t>
            </w:r>
          </w:p>
        </w:tc>
      </w:tr>
      <w:tr w14:paraId="2F99E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5E312C0">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9.5.1</w:t>
            </w:r>
          </w:p>
        </w:tc>
        <w:tc>
          <w:tcPr>
            <w:tcW w:w="3703" w:type="dxa"/>
            <w:tcMar>
              <w:left w:w="45" w:type="dxa"/>
              <w:right w:w="45" w:type="dxa"/>
            </w:tcMar>
            <w:vAlign w:val="center"/>
          </w:tcPr>
          <w:p w14:paraId="13530FD1">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剧毒化学品应当单独存放, 实行双人收发、 双人保管制度，技防措施符合管制要求</w:t>
            </w:r>
          </w:p>
          <w:p w14:paraId="74928403">
            <w:pPr>
              <w:spacing w:line="300" w:lineRule="exact"/>
              <w:rPr>
                <w:rFonts w:hint="default" w:ascii="Times New Roman" w:hAnsi="Times New Roman" w:eastAsia="仿宋_GB2312" w:cs="Times New Roman"/>
                <w:color w:val="auto"/>
                <w:kern w:val="0"/>
                <w:szCs w:val="21"/>
              </w:rPr>
            </w:pPr>
          </w:p>
        </w:tc>
        <w:tc>
          <w:tcPr>
            <w:tcW w:w="7777" w:type="dxa"/>
            <w:tcMar>
              <w:left w:w="45" w:type="dxa"/>
              <w:right w:w="45" w:type="dxa"/>
            </w:tcMar>
            <w:vAlign w:val="center"/>
          </w:tcPr>
          <w:p w14:paraId="33DF650C">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（143）单独存放，不得与易燃、易爆、腐蚀性物品等一起存放。</w:t>
            </w:r>
          </w:p>
          <w:p w14:paraId="1C343DE0">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（144）有专人管理并做好贮存、领取、发放情况登记，登记资料至少保存3年。</w:t>
            </w:r>
          </w:p>
          <w:p w14:paraId="1B367CEA">
            <w:pPr>
              <w:rPr>
                <w:rFonts w:hint="default" w:ascii="Times New Roman" w:hAnsi="Times New Roman" w:eastAsia="仿宋_GB2312" w:cs="Times New Roman"/>
                <w:color w:val="auto"/>
              </w:rPr>
            </w:pPr>
            <w:r>
              <w:rPr>
                <w:rFonts w:hint="default" w:ascii="Times New Roman" w:hAnsi="Times New Roman" w:eastAsia="仿宋_GB2312" w:cs="Times New Roman"/>
                <w:color w:val="auto"/>
                <w:kern w:val="0"/>
                <w:szCs w:val="21"/>
              </w:rPr>
              <w:t>（145）防盗安全门应符合GB 17565《防盗安全门通用技术条件》的要求，防盗安全级别为3级（含）以上，防盗锁应符合GA/T 73《机械防盗锁》的要求，防盗保险柜应符合GB 10409《防盗保险柜》的要求，监控管控执行公安部门的要求</w:t>
            </w:r>
          </w:p>
        </w:tc>
        <w:tc>
          <w:tcPr>
            <w:tcW w:w="2543" w:type="dxa"/>
            <w:tcMar>
              <w:left w:w="45" w:type="dxa"/>
              <w:right w:w="45" w:type="dxa"/>
            </w:tcMar>
            <w:vAlign w:val="center"/>
          </w:tcPr>
          <w:p w14:paraId="1462DBE0">
            <w:pPr>
              <w:widowControl/>
              <w:spacing w:line="300" w:lineRule="exact"/>
              <w:rPr>
                <w:rFonts w:hint="default" w:ascii="Times New Roman" w:hAnsi="Times New Roman" w:eastAsia="仿宋_GB2312" w:cs="Times New Roman"/>
                <w:b/>
                <w:color w:val="auto"/>
                <w:kern w:val="0"/>
                <w:szCs w:val="21"/>
              </w:rPr>
            </w:pPr>
          </w:p>
        </w:tc>
      </w:tr>
      <w:tr w14:paraId="165FD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DA8A99D">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9.5.2</w:t>
            </w:r>
          </w:p>
        </w:tc>
        <w:tc>
          <w:tcPr>
            <w:tcW w:w="3703" w:type="dxa"/>
            <w:tcMar>
              <w:left w:w="45" w:type="dxa"/>
              <w:right w:w="45" w:type="dxa"/>
            </w:tcMar>
            <w:vAlign w:val="center"/>
          </w:tcPr>
          <w:p w14:paraId="0A7FCCD9">
            <w:pPr>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易制毒化学品储存规范，台账清晰</w:t>
            </w:r>
          </w:p>
          <w:p w14:paraId="63E24805">
            <w:pPr>
              <w:widowControl/>
              <w:spacing w:line="300" w:lineRule="exact"/>
              <w:rPr>
                <w:rFonts w:hint="default" w:ascii="Times New Roman" w:hAnsi="Times New Roman" w:eastAsia="仿宋_GB2312" w:cs="Times New Roman"/>
                <w:color w:val="auto"/>
                <w:kern w:val="0"/>
                <w:szCs w:val="21"/>
              </w:rPr>
            </w:pPr>
          </w:p>
        </w:tc>
        <w:tc>
          <w:tcPr>
            <w:tcW w:w="7777" w:type="dxa"/>
            <w:tcMar>
              <w:left w:w="45" w:type="dxa"/>
              <w:right w:w="45" w:type="dxa"/>
            </w:tcMar>
            <w:vAlign w:val="center"/>
          </w:tcPr>
          <w:p w14:paraId="7AF1C194">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（146）应设置专用存储区或者储存专柜并有防盗措施。</w:t>
            </w:r>
          </w:p>
          <w:p w14:paraId="279C3BD6">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（147）第一类易制毒化学品（含药品类易制毒化学品）实行双人双锁管理，账册保存期限不少于2年</w:t>
            </w:r>
          </w:p>
        </w:tc>
        <w:tc>
          <w:tcPr>
            <w:tcW w:w="2543" w:type="dxa"/>
            <w:tcMar>
              <w:left w:w="45" w:type="dxa"/>
              <w:right w:w="45" w:type="dxa"/>
            </w:tcMar>
            <w:vAlign w:val="center"/>
          </w:tcPr>
          <w:p w14:paraId="2FB037F7">
            <w:pPr>
              <w:widowControl/>
              <w:spacing w:line="300" w:lineRule="exact"/>
              <w:rPr>
                <w:rFonts w:hint="default" w:ascii="Times New Roman" w:hAnsi="Times New Roman" w:eastAsia="仿宋_GB2312" w:cs="Times New Roman"/>
                <w:b/>
                <w:color w:val="auto"/>
                <w:kern w:val="0"/>
                <w:szCs w:val="21"/>
              </w:rPr>
            </w:pPr>
          </w:p>
        </w:tc>
      </w:tr>
      <w:tr w14:paraId="56C96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543935F">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9.5.3</w:t>
            </w:r>
          </w:p>
        </w:tc>
        <w:tc>
          <w:tcPr>
            <w:tcW w:w="3703" w:type="dxa"/>
            <w:tcMar>
              <w:left w:w="45" w:type="dxa"/>
              <w:right w:w="45" w:type="dxa"/>
            </w:tcMar>
            <w:vAlign w:val="center"/>
          </w:tcPr>
          <w:p w14:paraId="3C79AAD5">
            <w:pPr>
              <w:spacing w:line="300" w:lineRule="exact"/>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kern w:val="0"/>
                <w:szCs w:val="21"/>
              </w:rPr>
              <w:t>易制爆化学品存量合规、双人双锁保管</w:t>
            </w:r>
          </w:p>
          <w:p w14:paraId="229B8905">
            <w:pPr>
              <w:widowControl/>
              <w:spacing w:line="300" w:lineRule="exact"/>
              <w:rPr>
                <w:rFonts w:hint="default" w:ascii="Times New Roman" w:hAnsi="Times New Roman" w:eastAsia="仿宋_GB2312" w:cs="Times New Roman"/>
                <w:color w:val="auto"/>
                <w:kern w:val="0"/>
                <w:szCs w:val="21"/>
              </w:rPr>
            </w:pPr>
          </w:p>
        </w:tc>
        <w:tc>
          <w:tcPr>
            <w:tcW w:w="7777" w:type="dxa"/>
            <w:tcMar>
              <w:left w:w="45" w:type="dxa"/>
              <w:right w:w="45" w:type="dxa"/>
            </w:tcMar>
            <w:vAlign w:val="center"/>
          </w:tcPr>
          <w:p w14:paraId="43E43DE9">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rPr>
              <w:t>（148）</w:t>
            </w:r>
            <w:r>
              <w:rPr>
                <w:rFonts w:hint="default" w:ascii="Times New Roman" w:hAnsi="Times New Roman" w:eastAsia="仿宋_GB2312" w:cs="Times New Roman"/>
                <w:b/>
                <w:bCs/>
                <w:color w:val="auto"/>
                <w:kern w:val="0"/>
              </w:rPr>
              <w:t>易制爆化学品存量合规，单个储存室或者储存柜储存量不超过50kg</w:t>
            </w:r>
            <w:r>
              <w:rPr>
                <w:rFonts w:hint="default" w:ascii="Times New Roman" w:hAnsi="Times New Roman" w:eastAsia="仿宋_GB2312" w:cs="Times New Roman"/>
                <w:b/>
                <w:bCs/>
                <w:color w:val="auto"/>
                <w:kern w:val="0"/>
                <w:szCs w:val="21"/>
              </w:rPr>
              <w:t>。</w:t>
            </w:r>
          </w:p>
          <w:p w14:paraId="2627FD38">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（149）存放场所出入口应设置防盗安全门，或存放在专用储存柜内，储存场所防盗安全级别应为3级（含）以上，专用储存柜应具有防盗功能，符合双人双锁管理要求，台账账册保存期限不少于1年</w:t>
            </w:r>
          </w:p>
        </w:tc>
        <w:tc>
          <w:tcPr>
            <w:tcW w:w="2543" w:type="dxa"/>
            <w:tcMar>
              <w:left w:w="45" w:type="dxa"/>
              <w:right w:w="45" w:type="dxa"/>
            </w:tcMar>
            <w:vAlign w:val="center"/>
          </w:tcPr>
          <w:p w14:paraId="672A248F">
            <w:pPr>
              <w:widowControl/>
              <w:spacing w:line="300" w:lineRule="exact"/>
              <w:rPr>
                <w:rFonts w:hint="default" w:ascii="Times New Roman" w:hAnsi="Times New Roman" w:eastAsia="仿宋_GB2312" w:cs="Times New Roman"/>
                <w:b/>
                <w:color w:val="auto"/>
                <w:kern w:val="0"/>
                <w:szCs w:val="21"/>
              </w:rPr>
            </w:pPr>
          </w:p>
        </w:tc>
      </w:tr>
      <w:tr w14:paraId="5C466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84B899B">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9.5.4</w:t>
            </w:r>
          </w:p>
        </w:tc>
        <w:tc>
          <w:tcPr>
            <w:tcW w:w="3703" w:type="dxa"/>
            <w:tcMar>
              <w:left w:w="45" w:type="dxa"/>
              <w:right w:w="45" w:type="dxa"/>
            </w:tcMar>
            <w:vAlign w:val="center"/>
          </w:tcPr>
          <w:p w14:paraId="54EAC06C">
            <w:pPr>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麻醉药品和第一类精神药品管理符合“双人双锁”要求，有专用账册</w:t>
            </w:r>
          </w:p>
        </w:tc>
        <w:tc>
          <w:tcPr>
            <w:tcW w:w="7777" w:type="dxa"/>
            <w:tcMar>
              <w:left w:w="45" w:type="dxa"/>
              <w:right w:w="45" w:type="dxa"/>
            </w:tcMar>
            <w:vAlign w:val="center"/>
          </w:tcPr>
          <w:p w14:paraId="7F1F99CA">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（150）设立专库或者专柜储存，专库应当设有防盗设施并安装报警装置，专柜应当使用保险柜，专库和专柜应当实行双人双锁管理。</w:t>
            </w:r>
          </w:p>
          <w:p w14:paraId="7A5BC66D">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（151）配备专人管理并建立专用账册，专用账册的保存期限应当自药品有效期期满之日起不少于5年</w:t>
            </w:r>
          </w:p>
        </w:tc>
        <w:tc>
          <w:tcPr>
            <w:tcW w:w="2543" w:type="dxa"/>
            <w:tcMar>
              <w:left w:w="45" w:type="dxa"/>
              <w:right w:w="45" w:type="dxa"/>
            </w:tcMar>
            <w:vAlign w:val="center"/>
          </w:tcPr>
          <w:p w14:paraId="2DD8411B">
            <w:pPr>
              <w:widowControl/>
              <w:spacing w:line="300" w:lineRule="exact"/>
              <w:rPr>
                <w:rFonts w:hint="default" w:ascii="Times New Roman" w:hAnsi="Times New Roman" w:eastAsia="仿宋_GB2312" w:cs="Times New Roman"/>
                <w:b/>
                <w:color w:val="auto"/>
                <w:kern w:val="0"/>
                <w:szCs w:val="21"/>
              </w:rPr>
            </w:pPr>
          </w:p>
        </w:tc>
      </w:tr>
      <w:tr w14:paraId="6C047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3BF1DA4">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9.5.5</w:t>
            </w:r>
          </w:p>
        </w:tc>
        <w:tc>
          <w:tcPr>
            <w:tcW w:w="3703" w:type="dxa"/>
            <w:tcMar>
              <w:left w:w="45" w:type="dxa"/>
              <w:right w:w="45" w:type="dxa"/>
            </w:tcMar>
            <w:vAlign w:val="center"/>
          </w:tcPr>
          <w:p w14:paraId="25E0D932">
            <w:pPr>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爆炸品单独隔离、限量存储，使用、销毁按照公安部门的要求执行</w:t>
            </w:r>
          </w:p>
        </w:tc>
        <w:tc>
          <w:tcPr>
            <w:tcW w:w="7777" w:type="dxa"/>
            <w:tcMar>
              <w:left w:w="45" w:type="dxa"/>
              <w:right w:w="45" w:type="dxa"/>
            </w:tcMar>
            <w:vAlign w:val="center"/>
          </w:tcPr>
          <w:p w14:paraId="3DF92AFB">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（152）收存和发放民用爆炸物品必须进行登记，做到账目清楚，账物相符</w:t>
            </w:r>
          </w:p>
        </w:tc>
        <w:tc>
          <w:tcPr>
            <w:tcW w:w="2543" w:type="dxa"/>
            <w:tcMar>
              <w:left w:w="45" w:type="dxa"/>
              <w:right w:w="45" w:type="dxa"/>
            </w:tcMar>
            <w:vAlign w:val="center"/>
          </w:tcPr>
          <w:p w14:paraId="1AF2B488">
            <w:pPr>
              <w:widowControl/>
              <w:spacing w:line="300" w:lineRule="exact"/>
              <w:jc w:val="left"/>
              <w:rPr>
                <w:rFonts w:hint="default" w:ascii="Times New Roman" w:hAnsi="Times New Roman" w:eastAsia="仿宋_GB2312" w:cs="Times New Roman"/>
                <w:color w:val="auto"/>
                <w:kern w:val="0"/>
                <w:szCs w:val="21"/>
              </w:rPr>
            </w:pPr>
          </w:p>
        </w:tc>
      </w:tr>
      <w:tr w14:paraId="6EFF2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1FA6F26">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bCs/>
                <w:color w:val="auto"/>
                <w:kern w:val="0"/>
                <w:szCs w:val="21"/>
              </w:rPr>
              <w:t>9.6</w:t>
            </w:r>
          </w:p>
        </w:tc>
        <w:tc>
          <w:tcPr>
            <w:tcW w:w="14023" w:type="dxa"/>
            <w:gridSpan w:val="3"/>
            <w:tcMar>
              <w:left w:w="45" w:type="dxa"/>
              <w:right w:w="45" w:type="dxa"/>
            </w:tcMar>
            <w:vAlign w:val="center"/>
          </w:tcPr>
          <w:p w14:paraId="7F86BC9F">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实验气体管理</w:t>
            </w:r>
          </w:p>
        </w:tc>
      </w:tr>
      <w:tr w14:paraId="32120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E547A24">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9.6.1</w:t>
            </w:r>
          </w:p>
        </w:tc>
        <w:tc>
          <w:tcPr>
            <w:tcW w:w="3703" w:type="dxa"/>
            <w:tcMar>
              <w:left w:w="45" w:type="dxa"/>
              <w:right w:w="45" w:type="dxa"/>
            </w:tcMar>
            <w:vAlign w:val="center"/>
          </w:tcPr>
          <w:p w14:paraId="19DE9903">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从合格供应商处采购实验气体，建立气体（气瓶）台账</w:t>
            </w:r>
          </w:p>
        </w:tc>
        <w:tc>
          <w:tcPr>
            <w:tcW w:w="7777" w:type="dxa"/>
            <w:tcMar>
              <w:left w:w="45" w:type="dxa"/>
              <w:right w:w="45" w:type="dxa"/>
            </w:tcMar>
            <w:vAlign w:val="center"/>
          </w:tcPr>
          <w:p w14:paraId="329B8094">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（153）查看记录</w:t>
            </w:r>
          </w:p>
        </w:tc>
        <w:tc>
          <w:tcPr>
            <w:tcW w:w="2543" w:type="dxa"/>
            <w:tcMar>
              <w:left w:w="45" w:type="dxa"/>
              <w:right w:w="45" w:type="dxa"/>
            </w:tcMar>
            <w:vAlign w:val="center"/>
          </w:tcPr>
          <w:p w14:paraId="12A07E18">
            <w:pPr>
              <w:widowControl/>
              <w:spacing w:line="300" w:lineRule="exact"/>
              <w:rPr>
                <w:rFonts w:hint="default" w:ascii="Times New Roman" w:hAnsi="Times New Roman" w:eastAsia="仿宋_GB2312" w:cs="Times New Roman"/>
                <w:bCs/>
                <w:color w:val="auto"/>
                <w:kern w:val="0"/>
                <w:szCs w:val="21"/>
              </w:rPr>
            </w:pPr>
          </w:p>
        </w:tc>
      </w:tr>
      <w:tr w14:paraId="77295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8B2EC75">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9.6.2</w:t>
            </w:r>
          </w:p>
        </w:tc>
        <w:tc>
          <w:tcPr>
            <w:tcW w:w="3703" w:type="dxa"/>
            <w:tcMar>
              <w:left w:w="45" w:type="dxa"/>
              <w:right w:w="45" w:type="dxa"/>
            </w:tcMar>
            <w:vAlign w:val="center"/>
          </w:tcPr>
          <w:p w14:paraId="03262FE1">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气体（气瓶）的存放和使用符合相关要求</w:t>
            </w:r>
          </w:p>
        </w:tc>
        <w:tc>
          <w:tcPr>
            <w:tcW w:w="7777" w:type="dxa"/>
            <w:tcMar>
              <w:left w:w="45" w:type="dxa"/>
              <w:right w:w="45" w:type="dxa"/>
            </w:tcMar>
            <w:vAlign w:val="center"/>
          </w:tcPr>
          <w:p w14:paraId="6B078973">
            <w:pPr>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（154）气体（气瓶）存放点须通风、远离热源、避免暴晒，地面平整干燥。</w:t>
            </w:r>
          </w:p>
          <w:p w14:paraId="1B310242">
            <w:pPr>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（155）气瓶应合理固定。</w:t>
            </w:r>
          </w:p>
          <w:p w14:paraId="423063BC">
            <w:pPr>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（156）危险气体气瓶尽量置于室外，室内放置应使用常时排风且带监测报警装置的气瓶柜。</w:t>
            </w:r>
          </w:p>
          <w:p w14:paraId="556F0142">
            <w:pPr>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（157）气瓶的存放应控制在最小需求量。</w:t>
            </w:r>
          </w:p>
          <w:p w14:paraId="1E901247">
            <w:pPr>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（158）</w:t>
            </w:r>
            <w:r>
              <w:rPr>
                <w:rFonts w:hint="default" w:ascii="Times New Roman" w:hAnsi="Times New Roman" w:eastAsia="仿宋_GB2312" w:cs="Times New Roman"/>
                <w:b/>
                <w:bCs/>
                <w:color w:val="auto"/>
                <w:kern w:val="0"/>
                <w:szCs w:val="21"/>
              </w:rPr>
              <w:t>涉及有毒、可燃气体的场所，配有通风设施和相应的气体监测和报警装置等，张贴必要的安全警示标志。</w:t>
            </w:r>
          </w:p>
          <w:p w14:paraId="1819E458">
            <w:pPr>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（159）可燃性气体与氧气等助燃气体气瓶不得混放。</w:t>
            </w:r>
          </w:p>
          <w:p w14:paraId="3459C070">
            <w:pPr>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（160）独立的气体气瓶室应通风、不混放、有监控，有专人管理和记录。</w:t>
            </w:r>
          </w:p>
          <w:p w14:paraId="72385290">
            <w:pPr>
              <w:widowControl/>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（161）有供应商提供的气瓶定期检验合格标识，无超过检验有效期的气瓶、无超过设计年限的气瓶。</w:t>
            </w:r>
          </w:p>
          <w:p w14:paraId="75C46242">
            <w:pPr>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（162）气瓶颜色符合GB/T 7144《气瓶颜色标志》的规定，确认“满”“使用中”“空瓶”三种状态。</w:t>
            </w:r>
          </w:p>
          <w:p w14:paraId="09FA793D">
            <w:pPr>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（163）使用完毕，应及时关闭气瓶总阀。</w:t>
            </w:r>
          </w:p>
          <w:p w14:paraId="6909C4FE">
            <w:pPr>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（164）气瓶附件齐全</w:t>
            </w:r>
          </w:p>
        </w:tc>
        <w:tc>
          <w:tcPr>
            <w:tcW w:w="2543" w:type="dxa"/>
            <w:tcMar>
              <w:left w:w="45" w:type="dxa"/>
              <w:right w:w="45" w:type="dxa"/>
            </w:tcMar>
            <w:vAlign w:val="center"/>
          </w:tcPr>
          <w:p w14:paraId="36D72814">
            <w:pPr>
              <w:rPr>
                <w:rFonts w:hint="default" w:ascii="Times New Roman" w:hAnsi="Times New Roman" w:eastAsia="仿宋_GB2312" w:cs="Times New Roman"/>
                <w:color w:val="auto"/>
              </w:rPr>
            </w:pPr>
          </w:p>
        </w:tc>
      </w:tr>
      <w:tr w14:paraId="08BDF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92E9E1B">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9.6.3</w:t>
            </w:r>
          </w:p>
        </w:tc>
        <w:tc>
          <w:tcPr>
            <w:tcW w:w="3703" w:type="dxa"/>
            <w:tcMar>
              <w:left w:w="45" w:type="dxa"/>
              <w:right w:w="45" w:type="dxa"/>
            </w:tcMar>
            <w:vAlign w:val="center"/>
          </w:tcPr>
          <w:p w14:paraId="5C742548">
            <w:pPr>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rPr>
              <w:t>在较小密封空间使用可引起窒息的气体，须安装氧含量监测</w:t>
            </w:r>
            <w:r>
              <w:rPr>
                <w:rFonts w:hint="default" w:ascii="Times New Roman" w:hAnsi="Times New Roman" w:eastAsia="仿宋_GB2312" w:cs="Times New Roman"/>
                <w:color w:val="auto"/>
                <w:kern w:val="0"/>
                <w:szCs w:val="21"/>
              </w:rPr>
              <w:t>报警装置</w:t>
            </w:r>
          </w:p>
        </w:tc>
        <w:tc>
          <w:tcPr>
            <w:tcW w:w="7777" w:type="dxa"/>
            <w:tcMar>
              <w:left w:w="45" w:type="dxa"/>
              <w:right w:w="45" w:type="dxa"/>
            </w:tcMar>
            <w:vAlign w:val="center"/>
          </w:tcPr>
          <w:p w14:paraId="6EC73330">
            <w:pPr>
              <w:spacing w:line="300" w:lineRule="exact"/>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（165）在存有大量无毒窒息性压缩气体或液化气体（液氮、液氩）的较小密闭空间，为</w:t>
            </w:r>
            <w:r>
              <w:rPr>
                <w:rFonts w:hint="default" w:ascii="Times New Roman" w:hAnsi="Times New Roman" w:eastAsia="仿宋_GB2312" w:cs="Times New Roman"/>
                <w:bCs/>
                <w:color w:val="auto"/>
                <w:kern w:val="0"/>
                <w:szCs w:val="21"/>
              </w:rPr>
              <w:t>防止气体大量泄漏或蒸发导致缺氧，</w:t>
            </w:r>
            <w:r>
              <w:rPr>
                <w:rFonts w:hint="default" w:ascii="Times New Roman" w:hAnsi="Times New Roman" w:eastAsia="仿宋_GB2312" w:cs="Times New Roman"/>
                <w:color w:val="auto"/>
                <w:szCs w:val="21"/>
              </w:rPr>
              <w:t>须安装氧含量监测报警装置。如，实验室存放1瓶常见规格40L公称体积，15MPa公称压力的窒息性气体气瓶，实验室层高2.8m时的临界面积为28m</w:t>
            </w:r>
            <w:r>
              <w:rPr>
                <w:rFonts w:hint="default" w:ascii="Times New Roman" w:hAnsi="Times New Roman" w:eastAsia="仿宋_GB2312" w:cs="Times New Roman"/>
                <w:color w:val="auto"/>
                <w:szCs w:val="21"/>
                <w:vertAlign w:val="superscript"/>
              </w:rPr>
              <w:t>2</w:t>
            </w:r>
            <w:r>
              <w:rPr>
                <w:rFonts w:hint="default" w:ascii="Times New Roman" w:hAnsi="Times New Roman" w:eastAsia="仿宋_GB2312" w:cs="Times New Roman"/>
                <w:color w:val="auto"/>
                <w:szCs w:val="21"/>
              </w:rPr>
              <w:t>，层高2.6m时的临界面积为30 m</w:t>
            </w:r>
            <w:r>
              <w:rPr>
                <w:rFonts w:hint="default" w:ascii="Times New Roman" w:hAnsi="Times New Roman" w:eastAsia="仿宋_GB2312" w:cs="Times New Roman"/>
                <w:color w:val="auto"/>
                <w:szCs w:val="21"/>
                <w:vertAlign w:val="superscript"/>
              </w:rPr>
              <w:t>2</w:t>
            </w:r>
            <w:r>
              <w:rPr>
                <w:rFonts w:hint="default" w:ascii="Times New Roman" w:hAnsi="Times New Roman" w:eastAsia="仿宋_GB2312" w:cs="Times New Roman"/>
                <w:color w:val="auto"/>
                <w:szCs w:val="21"/>
              </w:rPr>
              <w:t>；实验室存放10L体积液氮（液态密度0.808 g·mL</w:t>
            </w:r>
            <w:r>
              <w:rPr>
                <w:rFonts w:hint="default" w:ascii="Times New Roman" w:hAnsi="Times New Roman" w:eastAsia="仿宋_GB2312" w:cs="Times New Roman"/>
                <w:color w:val="auto"/>
                <w:szCs w:val="21"/>
                <w:vertAlign w:val="superscript"/>
              </w:rPr>
              <w:t>–1</w:t>
            </w:r>
            <w:r>
              <w:rPr>
                <w:rFonts w:hint="default" w:ascii="Times New Roman" w:hAnsi="Times New Roman" w:eastAsia="仿宋_GB2312" w:cs="Times New Roman"/>
                <w:color w:val="auto"/>
                <w:szCs w:val="21"/>
              </w:rPr>
              <w:t>），实验室层高2.8m时的临界面积为30m</w:t>
            </w:r>
            <w:r>
              <w:rPr>
                <w:rFonts w:hint="default" w:ascii="Times New Roman" w:hAnsi="Times New Roman" w:eastAsia="仿宋_GB2312" w:cs="Times New Roman"/>
                <w:color w:val="auto"/>
                <w:szCs w:val="21"/>
                <w:vertAlign w:val="superscript"/>
              </w:rPr>
              <w:t>2</w:t>
            </w:r>
            <w:r>
              <w:rPr>
                <w:rFonts w:hint="default" w:ascii="Times New Roman" w:hAnsi="Times New Roman" w:eastAsia="仿宋_GB2312" w:cs="Times New Roman"/>
                <w:color w:val="auto"/>
                <w:szCs w:val="21"/>
              </w:rPr>
              <w:t>，层高2.6m时的临界面积为35 m</w:t>
            </w:r>
            <w:r>
              <w:rPr>
                <w:rFonts w:hint="default" w:ascii="Times New Roman" w:hAnsi="Times New Roman" w:eastAsia="仿宋_GB2312" w:cs="Times New Roman"/>
                <w:color w:val="auto"/>
                <w:szCs w:val="21"/>
                <w:vertAlign w:val="superscript"/>
              </w:rPr>
              <w:t>2</w:t>
            </w:r>
          </w:p>
        </w:tc>
        <w:tc>
          <w:tcPr>
            <w:tcW w:w="2543" w:type="dxa"/>
            <w:tcMar>
              <w:left w:w="45" w:type="dxa"/>
              <w:right w:w="45" w:type="dxa"/>
            </w:tcMar>
            <w:vAlign w:val="center"/>
          </w:tcPr>
          <w:p w14:paraId="6B03B830">
            <w:pPr>
              <w:widowControl/>
              <w:spacing w:line="300" w:lineRule="exact"/>
              <w:rPr>
                <w:rFonts w:hint="default" w:ascii="Times New Roman" w:hAnsi="Times New Roman" w:eastAsia="仿宋_GB2312" w:cs="Times New Roman"/>
                <w:bCs/>
                <w:color w:val="auto"/>
                <w:kern w:val="0"/>
                <w:szCs w:val="21"/>
              </w:rPr>
            </w:pPr>
          </w:p>
        </w:tc>
      </w:tr>
      <w:tr w14:paraId="2EF3E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BC9FE3D">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9.6.4</w:t>
            </w:r>
          </w:p>
        </w:tc>
        <w:tc>
          <w:tcPr>
            <w:tcW w:w="3703" w:type="dxa"/>
            <w:tcMar>
              <w:left w:w="45" w:type="dxa"/>
              <w:right w:w="45" w:type="dxa"/>
            </w:tcMar>
            <w:vAlign w:val="center"/>
          </w:tcPr>
          <w:p w14:paraId="0F2B5F5A">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气体管路和气瓶连接正确、有清晰的标识</w:t>
            </w:r>
          </w:p>
        </w:tc>
        <w:tc>
          <w:tcPr>
            <w:tcW w:w="7777" w:type="dxa"/>
            <w:tcMar>
              <w:left w:w="45" w:type="dxa"/>
              <w:right w:w="45" w:type="dxa"/>
            </w:tcMar>
            <w:vAlign w:val="center"/>
          </w:tcPr>
          <w:p w14:paraId="0DF5B679">
            <w:pPr>
              <w:widowControl/>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（166）管路材质选择合适，无破损或老化现象，定期进行气密性检查；存在多条气体管路的房间须张贴详细的管路图，管路标识正确</w:t>
            </w:r>
          </w:p>
        </w:tc>
        <w:tc>
          <w:tcPr>
            <w:tcW w:w="2543" w:type="dxa"/>
            <w:tcMar>
              <w:left w:w="45" w:type="dxa"/>
              <w:right w:w="45" w:type="dxa"/>
            </w:tcMar>
            <w:vAlign w:val="center"/>
          </w:tcPr>
          <w:p w14:paraId="2665EAF8">
            <w:pPr>
              <w:widowControl/>
              <w:spacing w:line="300" w:lineRule="exact"/>
              <w:rPr>
                <w:rFonts w:hint="default" w:ascii="Times New Roman" w:hAnsi="Times New Roman" w:eastAsia="仿宋_GB2312" w:cs="Times New Roman"/>
                <w:bCs/>
                <w:color w:val="auto"/>
                <w:kern w:val="0"/>
                <w:szCs w:val="21"/>
              </w:rPr>
            </w:pPr>
          </w:p>
        </w:tc>
      </w:tr>
      <w:tr w14:paraId="1EE2A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E55E461">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9.7</w:t>
            </w:r>
          </w:p>
        </w:tc>
        <w:tc>
          <w:tcPr>
            <w:tcW w:w="14023" w:type="dxa"/>
            <w:gridSpan w:val="3"/>
            <w:tcMar>
              <w:left w:w="45" w:type="dxa"/>
              <w:right w:w="45" w:type="dxa"/>
            </w:tcMar>
            <w:vAlign w:val="center"/>
          </w:tcPr>
          <w:p w14:paraId="20274DDC">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实验室化学废弃物的收集、分类和转运</w:t>
            </w:r>
          </w:p>
        </w:tc>
      </w:tr>
      <w:tr w14:paraId="77C43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7D24E56">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9.7.1</w:t>
            </w:r>
          </w:p>
        </w:tc>
        <w:tc>
          <w:tcPr>
            <w:tcW w:w="3703" w:type="dxa"/>
            <w:tcMar>
              <w:left w:w="45" w:type="dxa"/>
              <w:right w:w="45" w:type="dxa"/>
            </w:tcMar>
            <w:vAlign w:val="center"/>
          </w:tcPr>
          <w:p w14:paraId="5A142CA1">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实验室应设立化学废弃物暂存区</w:t>
            </w:r>
          </w:p>
        </w:tc>
        <w:tc>
          <w:tcPr>
            <w:tcW w:w="7777" w:type="dxa"/>
            <w:tcMar>
              <w:left w:w="45" w:type="dxa"/>
              <w:right w:w="45" w:type="dxa"/>
            </w:tcMar>
            <w:vAlign w:val="center"/>
          </w:tcPr>
          <w:p w14:paraId="53011233">
            <w:pPr>
              <w:widowControl/>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（167）暂存区应远离火源、热源和不相容物质，避免日晒、雨淋，存放两种及以上不相容的实验室危险废物时，应分不同区域。</w:t>
            </w:r>
          </w:p>
          <w:p w14:paraId="6B241613">
            <w:pPr>
              <w:widowControl/>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（168）暂存区应有警示标志并有防遗洒、防渗漏设施或措施</w:t>
            </w:r>
          </w:p>
        </w:tc>
        <w:tc>
          <w:tcPr>
            <w:tcW w:w="2543" w:type="dxa"/>
            <w:tcMar>
              <w:left w:w="45" w:type="dxa"/>
              <w:right w:w="45" w:type="dxa"/>
            </w:tcMar>
            <w:vAlign w:val="center"/>
          </w:tcPr>
          <w:p w14:paraId="626FD827">
            <w:pPr>
              <w:widowControl/>
              <w:spacing w:line="300" w:lineRule="exact"/>
              <w:rPr>
                <w:rFonts w:hint="default" w:ascii="Times New Roman" w:hAnsi="Times New Roman" w:eastAsia="仿宋_GB2312" w:cs="Times New Roman"/>
                <w:bCs/>
                <w:color w:val="auto"/>
                <w:kern w:val="0"/>
                <w:szCs w:val="21"/>
              </w:rPr>
            </w:pPr>
          </w:p>
        </w:tc>
      </w:tr>
      <w:tr w14:paraId="1A8DD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D750A6A">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9.7.2</w:t>
            </w:r>
          </w:p>
        </w:tc>
        <w:tc>
          <w:tcPr>
            <w:tcW w:w="3703" w:type="dxa"/>
            <w:tcMar>
              <w:left w:w="45" w:type="dxa"/>
              <w:right w:w="45" w:type="dxa"/>
            </w:tcMar>
            <w:vAlign w:val="center"/>
          </w:tcPr>
          <w:p w14:paraId="4E1D53DB">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实验室内须规范收集化学废弃物</w:t>
            </w:r>
          </w:p>
        </w:tc>
        <w:tc>
          <w:tcPr>
            <w:tcW w:w="7777" w:type="dxa"/>
            <w:tcMar>
              <w:left w:w="45" w:type="dxa"/>
              <w:right w:w="45" w:type="dxa"/>
            </w:tcMar>
            <w:vAlign w:val="center"/>
          </w:tcPr>
          <w:p w14:paraId="5626E01C">
            <w:pPr>
              <w:widowControl/>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（169）危险废物应按化学特性和危险特性，进行分类收集和暂存，通常条件下不稳定物质必须稳定化处理后才能进入危废处理流程。</w:t>
            </w:r>
          </w:p>
          <w:p w14:paraId="2C706D10">
            <w:pPr>
              <w:widowControl/>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（170）废弃的化学试剂应存放在原试剂瓶中，保留原标签，且瓶口朝上放入专用固废箱中。</w:t>
            </w:r>
          </w:p>
          <w:p w14:paraId="7014BEF3">
            <w:pPr>
              <w:widowControl/>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（171）针头等利器须放入利器盒中收集。</w:t>
            </w:r>
          </w:p>
          <w:p w14:paraId="66EE5CB2">
            <w:pPr>
              <w:widowControl/>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（172）废液应分类装入专用废液桶中，液面不超过容量的3/4。废液桶须满足耐腐蚀、抗溶剂、耐挤压、抗冲击的要求。</w:t>
            </w:r>
          </w:p>
          <w:p w14:paraId="61671292">
            <w:pPr>
              <w:widowControl/>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（173）实验室危险废物收集容器上应粘贴危险废物信息标签、警示标识。</w:t>
            </w:r>
          </w:p>
          <w:p w14:paraId="4A40592F">
            <w:pPr>
              <w:widowControl/>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（174）严禁将实验室危险废物直接排入下水道，严禁与生活垃圾、感染性废物或放射性废物等混装</w:t>
            </w:r>
          </w:p>
        </w:tc>
        <w:tc>
          <w:tcPr>
            <w:tcW w:w="2543" w:type="dxa"/>
            <w:tcMar>
              <w:left w:w="45" w:type="dxa"/>
              <w:right w:w="45" w:type="dxa"/>
            </w:tcMar>
            <w:vAlign w:val="center"/>
          </w:tcPr>
          <w:p w14:paraId="21AA3A5D">
            <w:pPr>
              <w:widowControl/>
              <w:spacing w:line="300" w:lineRule="exact"/>
              <w:rPr>
                <w:rFonts w:hint="default" w:ascii="Times New Roman" w:hAnsi="Times New Roman" w:eastAsia="仿宋_GB2312" w:cs="Times New Roman"/>
                <w:bCs/>
                <w:color w:val="auto"/>
                <w:kern w:val="0"/>
                <w:szCs w:val="21"/>
              </w:rPr>
            </w:pPr>
          </w:p>
        </w:tc>
      </w:tr>
      <w:tr w14:paraId="457E0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E7A42F2">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9.7.3</w:t>
            </w:r>
          </w:p>
        </w:tc>
        <w:tc>
          <w:tcPr>
            <w:tcW w:w="3703" w:type="dxa"/>
            <w:tcMar>
              <w:left w:w="45" w:type="dxa"/>
              <w:right w:w="45" w:type="dxa"/>
            </w:tcMar>
            <w:vAlign w:val="center"/>
          </w:tcPr>
          <w:p w14:paraId="43670E63">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学校应建设化学废弃物贮存站并规范管理</w:t>
            </w:r>
          </w:p>
        </w:tc>
        <w:tc>
          <w:tcPr>
            <w:tcW w:w="7777" w:type="dxa"/>
            <w:tcMar>
              <w:left w:w="45" w:type="dxa"/>
              <w:right w:w="45" w:type="dxa"/>
            </w:tcMar>
            <w:vAlign w:val="center"/>
          </w:tcPr>
          <w:p w14:paraId="639FC8F3">
            <w:pPr>
              <w:widowControl/>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（175）贮存设施、场所应当按照规定设置危险废物识别标志，存储装置符合GB/T 41962《实验室废弃物存储装置技术规范》的要求，易燃废弃物室外存储装置的单套内部面积应不大于30m</w:t>
            </w:r>
            <w:r>
              <w:rPr>
                <w:rFonts w:hint="default" w:ascii="Times New Roman" w:hAnsi="Times New Roman" w:eastAsia="仿宋_GB2312" w:cs="Times New Roman"/>
                <w:color w:val="auto"/>
                <w:kern w:val="0"/>
                <w:szCs w:val="21"/>
                <w:vertAlign w:val="superscript"/>
              </w:rPr>
              <w:t>2</w:t>
            </w:r>
            <w:r>
              <w:rPr>
                <w:rFonts w:hint="default" w:ascii="Times New Roman" w:hAnsi="Times New Roman" w:eastAsia="仿宋_GB2312" w:cs="Times New Roman"/>
                <w:color w:val="auto"/>
                <w:kern w:val="0"/>
                <w:szCs w:val="21"/>
              </w:rPr>
              <w:t>、高应不大于3m（尺寸误差应不大于10%），并在通风口处设置防火阀，公称动作温度为70</w:t>
            </w:r>
            <w:r>
              <w:rPr>
                <w:rFonts w:hint="default" w:ascii="Times New Roman" w:hAnsi="Times New Roman" w:eastAsia="仿宋_GB2312" w:cs="Times New Roman"/>
                <w:color w:val="auto"/>
                <w:sz w:val="24"/>
              </w:rPr>
              <w:t>°C</w:t>
            </w:r>
            <w:r>
              <w:rPr>
                <w:rFonts w:hint="default" w:ascii="Times New Roman" w:hAnsi="Times New Roman" w:eastAsia="仿宋_GB2312" w:cs="Times New Roman"/>
                <w:color w:val="auto"/>
                <w:kern w:val="0"/>
                <w:szCs w:val="21"/>
              </w:rPr>
              <w:t>。</w:t>
            </w:r>
          </w:p>
          <w:p w14:paraId="03ECFC15">
            <w:pPr>
              <w:widowControl/>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（176）贮存站应有具体的管理办法并将贮存站安全运行、实验室危险废物出站转运等日常管理工作落实到相关人员的岗位职责中。</w:t>
            </w:r>
          </w:p>
          <w:p w14:paraId="358F5106">
            <w:pPr>
              <w:widowControl/>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（177）制定意外事故的防范措施和应急预案</w:t>
            </w:r>
            <w:r>
              <w:rPr>
                <w:rFonts w:hint="default" w:ascii="Times New Roman" w:hAnsi="Times New Roman" w:eastAsia="仿宋_GB2312" w:cs="Times New Roman"/>
                <w:color w:val="auto"/>
                <w:kern w:val="0"/>
                <w:szCs w:val="21"/>
              </w:rPr>
              <w:t>，并向所在地生态环境主管部门</w:t>
            </w:r>
            <w:r>
              <w:rPr>
                <w:rFonts w:hint="default" w:ascii="Times New Roman" w:hAnsi="Times New Roman" w:eastAsia="仿宋_GB2312" w:cs="Times New Roman"/>
                <w:bCs/>
                <w:color w:val="auto"/>
                <w:kern w:val="0"/>
                <w:szCs w:val="21"/>
              </w:rPr>
              <w:t>备案</w:t>
            </w:r>
          </w:p>
        </w:tc>
        <w:tc>
          <w:tcPr>
            <w:tcW w:w="2543" w:type="dxa"/>
            <w:tcMar>
              <w:left w:w="45" w:type="dxa"/>
              <w:right w:w="45" w:type="dxa"/>
            </w:tcMar>
            <w:vAlign w:val="center"/>
          </w:tcPr>
          <w:p w14:paraId="56243124">
            <w:pPr>
              <w:widowControl/>
              <w:spacing w:line="300" w:lineRule="exact"/>
              <w:rPr>
                <w:rFonts w:hint="default" w:ascii="Times New Roman" w:hAnsi="Times New Roman" w:eastAsia="仿宋_GB2312" w:cs="Times New Roman"/>
                <w:bCs/>
                <w:color w:val="auto"/>
                <w:kern w:val="0"/>
                <w:szCs w:val="21"/>
              </w:rPr>
            </w:pPr>
          </w:p>
        </w:tc>
      </w:tr>
      <w:tr w14:paraId="4235A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E5456CA">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9.7.4</w:t>
            </w:r>
          </w:p>
        </w:tc>
        <w:tc>
          <w:tcPr>
            <w:tcW w:w="3703" w:type="dxa"/>
            <w:tcMar>
              <w:left w:w="45" w:type="dxa"/>
              <w:right w:w="45" w:type="dxa"/>
            </w:tcMar>
            <w:vAlign w:val="center"/>
          </w:tcPr>
          <w:p w14:paraId="54923FD9">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化学废弃物的转运须合规</w:t>
            </w:r>
          </w:p>
        </w:tc>
        <w:tc>
          <w:tcPr>
            <w:tcW w:w="7777" w:type="dxa"/>
            <w:tcMar>
              <w:left w:w="45" w:type="dxa"/>
              <w:right w:w="45" w:type="dxa"/>
            </w:tcMar>
            <w:vAlign w:val="center"/>
          </w:tcPr>
          <w:p w14:paraId="09A85814">
            <w:pPr>
              <w:widowControl/>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（178）委托有危险废物处置资质的专业厂家集中处置化学废弃物，并查看协议。</w:t>
            </w:r>
          </w:p>
          <w:p w14:paraId="1A47AE7E">
            <w:pPr>
              <w:widowControl/>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（179）</w:t>
            </w:r>
            <w:r>
              <w:rPr>
                <w:rFonts w:hint="default" w:ascii="Times New Roman" w:hAnsi="Times New Roman" w:eastAsia="仿宋_GB2312" w:cs="Times New Roman"/>
                <w:bCs/>
                <w:color w:val="auto"/>
                <w:kern w:val="0"/>
                <w:szCs w:val="21"/>
              </w:rPr>
              <w:t>建立危险废物管理台账</w:t>
            </w:r>
            <w:r>
              <w:rPr>
                <w:rFonts w:hint="default" w:ascii="Times New Roman" w:hAnsi="Times New Roman" w:eastAsia="仿宋_GB2312" w:cs="Times New Roman"/>
                <w:color w:val="auto"/>
                <w:kern w:val="0"/>
                <w:szCs w:val="21"/>
              </w:rPr>
              <w:t>，如实记录有关信息，包括种类、产生量、流向、贮存、处置等有关资料。</w:t>
            </w:r>
          </w:p>
          <w:p w14:paraId="4AFDC63B">
            <w:pPr>
              <w:widowControl/>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（180）校外转运之前，贮存站必须妥善管理实验室危险废物，采取有效措施，防止废物的扬散、流失、渗漏或造成其他环境污染。</w:t>
            </w:r>
          </w:p>
          <w:p w14:paraId="04AA9097">
            <w:pPr>
              <w:widowControl/>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（181）转运人员应使用专用运输工具，运输前根据运输废物的危险特性，应携带必要的应急物资和个体防护用具，如收集工具、手套、口罩等。</w:t>
            </w:r>
          </w:p>
          <w:p w14:paraId="1E79AB74">
            <w:pPr>
              <w:widowControl/>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（182）实验室危险废物的校外转运必须按照国家有关规定填写危险废物电子或者纸质转移联单，任何单位和个人未经许可不得非法转运</w:t>
            </w:r>
          </w:p>
        </w:tc>
        <w:tc>
          <w:tcPr>
            <w:tcW w:w="2543" w:type="dxa"/>
            <w:tcMar>
              <w:left w:w="45" w:type="dxa"/>
              <w:right w:w="45" w:type="dxa"/>
            </w:tcMar>
            <w:vAlign w:val="center"/>
          </w:tcPr>
          <w:p w14:paraId="3CB33644">
            <w:pPr>
              <w:widowControl/>
              <w:spacing w:line="300" w:lineRule="exact"/>
              <w:rPr>
                <w:rFonts w:hint="default" w:ascii="Times New Roman" w:hAnsi="Times New Roman" w:eastAsia="仿宋_GB2312" w:cs="Times New Roman"/>
                <w:bCs/>
                <w:color w:val="auto"/>
                <w:kern w:val="0"/>
                <w:szCs w:val="21"/>
              </w:rPr>
            </w:pPr>
          </w:p>
        </w:tc>
      </w:tr>
      <w:tr w14:paraId="0D605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E509C87">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10</w:t>
            </w:r>
          </w:p>
        </w:tc>
        <w:tc>
          <w:tcPr>
            <w:tcW w:w="14023" w:type="dxa"/>
            <w:gridSpan w:val="3"/>
            <w:tcMar>
              <w:left w:w="45" w:type="dxa"/>
              <w:right w:w="45" w:type="dxa"/>
            </w:tcMar>
            <w:vAlign w:val="center"/>
          </w:tcPr>
          <w:p w14:paraId="15919726">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生物安全</w:t>
            </w:r>
          </w:p>
        </w:tc>
      </w:tr>
      <w:tr w14:paraId="32391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4157338">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10.1</w:t>
            </w:r>
          </w:p>
        </w:tc>
        <w:tc>
          <w:tcPr>
            <w:tcW w:w="14023" w:type="dxa"/>
            <w:gridSpan w:val="3"/>
            <w:tcMar>
              <w:left w:w="45" w:type="dxa"/>
              <w:right w:w="45" w:type="dxa"/>
            </w:tcMar>
            <w:vAlign w:val="center"/>
          </w:tcPr>
          <w:p w14:paraId="05F20F14">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实验室生物安全等级</w:t>
            </w:r>
          </w:p>
        </w:tc>
      </w:tr>
      <w:tr w14:paraId="00C9C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40DEB58">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10.1.1</w:t>
            </w:r>
          </w:p>
        </w:tc>
        <w:tc>
          <w:tcPr>
            <w:tcW w:w="3703" w:type="dxa"/>
            <w:tcMar>
              <w:left w:w="45" w:type="dxa"/>
              <w:right w:w="45" w:type="dxa"/>
            </w:tcMar>
            <w:vAlign w:val="center"/>
          </w:tcPr>
          <w:p w14:paraId="350A6849">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开展病原微生物实验教学科研的实验室，须具备相应的安全等级资质</w:t>
            </w:r>
          </w:p>
        </w:tc>
        <w:tc>
          <w:tcPr>
            <w:tcW w:w="7777" w:type="dxa"/>
            <w:tcMar>
              <w:left w:w="45" w:type="dxa"/>
              <w:right w:w="45" w:type="dxa"/>
            </w:tcMar>
            <w:vAlign w:val="center"/>
          </w:tcPr>
          <w:p w14:paraId="6B4F7FC6">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（183）</w:t>
            </w:r>
            <w:r>
              <w:rPr>
                <w:rFonts w:hint="default" w:ascii="Times New Roman" w:hAnsi="Times New Roman" w:eastAsia="仿宋_GB2312" w:cs="Times New Roman"/>
                <w:b/>
                <w:bCs w:val="0"/>
                <w:color w:val="auto"/>
                <w:kern w:val="0"/>
                <w:szCs w:val="21"/>
              </w:rPr>
              <w:t>有生物安全实验室的高校须按监管要求建立生物安全委员会等组织机构并依规履职。</w:t>
            </w:r>
            <w:r>
              <w:rPr>
                <w:rFonts w:hint="default" w:ascii="Times New Roman" w:hAnsi="Times New Roman" w:eastAsia="仿宋_GB2312" w:cs="Times New Roman"/>
                <w:bCs/>
                <w:color w:val="auto"/>
                <w:kern w:val="0"/>
                <w:szCs w:val="21"/>
              </w:rPr>
              <w:t>BSL-3/ABSL-3 、 BSL-4/ABSL-4 实 验 室 须 经 政 府 部 门 批 准 建 设 ， BSL-1/ABSL-1、BSL-2/ABSL-2 实验室由学校建设后报设区的市卫生                  或农业农村部门备案</w:t>
            </w:r>
          </w:p>
        </w:tc>
        <w:tc>
          <w:tcPr>
            <w:tcW w:w="2543" w:type="dxa"/>
            <w:tcMar>
              <w:left w:w="45" w:type="dxa"/>
              <w:right w:w="45" w:type="dxa"/>
            </w:tcMar>
            <w:vAlign w:val="center"/>
          </w:tcPr>
          <w:p w14:paraId="63E5C52A">
            <w:pPr>
              <w:widowControl/>
              <w:spacing w:line="300" w:lineRule="exact"/>
              <w:rPr>
                <w:rFonts w:hint="default" w:ascii="Times New Roman" w:hAnsi="Times New Roman" w:eastAsia="仿宋_GB2312" w:cs="Times New Roman"/>
                <w:b/>
                <w:bCs/>
                <w:color w:val="auto"/>
                <w:kern w:val="0"/>
                <w:szCs w:val="21"/>
              </w:rPr>
            </w:pPr>
          </w:p>
        </w:tc>
      </w:tr>
      <w:tr w14:paraId="69564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8FF04DA">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10.1.2</w:t>
            </w:r>
          </w:p>
        </w:tc>
        <w:tc>
          <w:tcPr>
            <w:tcW w:w="3703" w:type="dxa"/>
            <w:tcMar>
              <w:left w:w="45" w:type="dxa"/>
              <w:right w:w="45" w:type="dxa"/>
            </w:tcMar>
            <w:vAlign w:val="center"/>
          </w:tcPr>
          <w:p w14:paraId="4A6A0014">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在相应等级的实验室开展涉及致病性生物因子的实验活动</w:t>
            </w:r>
          </w:p>
          <w:p w14:paraId="5F91DF3F">
            <w:pPr>
              <w:widowControl/>
              <w:spacing w:line="300" w:lineRule="exact"/>
              <w:rPr>
                <w:rFonts w:hint="default" w:ascii="Times New Roman" w:hAnsi="Times New Roman" w:eastAsia="仿宋_GB2312" w:cs="Times New Roman"/>
                <w:color w:val="auto"/>
                <w:kern w:val="0"/>
                <w:szCs w:val="21"/>
              </w:rPr>
            </w:pPr>
          </w:p>
        </w:tc>
        <w:tc>
          <w:tcPr>
            <w:tcW w:w="7777" w:type="dxa"/>
            <w:tcMar>
              <w:left w:w="45" w:type="dxa"/>
              <w:right w:w="45" w:type="dxa"/>
            </w:tcMar>
            <w:vAlign w:val="center"/>
          </w:tcPr>
          <w:p w14:paraId="7A2E67DF">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szCs w:val="21"/>
              </w:rPr>
              <w:t>（184）以国家法律、法规、标准、规范，以及权威机构发布的指南、数据等为依据</w:t>
            </w:r>
            <w:r>
              <w:rPr>
                <w:rFonts w:hint="default" w:ascii="Times New Roman" w:hAnsi="Times New Roman" w:eastAsia="仿宋_GB2312" w:cs="Times New Roman"/>
                <w:color w:val="auto"/>
                <w:kern w:val="0"/>
                <w:szCs w:val="21"/>
              </w:rPr>
              <w:t>，对涉及的致病性生物因子进行风险评估，实验室生物安全级别不低于国家发布的病原微生物目录要求</w:t>
            </w:r>
          </w:p>
        </w:tc>
        <w:tc>
          <w:tcPr>
            <w:tcW w:w="2543" w:type="dxa"/>
            <w:tcMar>
              <w:left w:w="45" w:type="dxa"/>
              <w:right w:w="45" w:type="dxa"/>
            </w:tcMar>
            <w:vAlign w:val="center"/>
          </w:tcPr>
          <w:p w14:paraId="6153DD1B">
            <w:pPr>
              <w:widowControl/>
              <w:spacing w:line="300" w:lineRule="exact"/>
              <w:rPr>
                <w:rFonts w:hint="default" w:ascii="Times New Roman" w:hAnsi="Times New Roman" w:eastAsia="仿宋_GB2312" w:cs="Times New Roman"/>
                <w:b/>
                <w:bCs/>
                <w:color w:val="auto"/>
                <w:kern w:val="0"/>
                <w:szCs w:val="21"/>
              </w:rPr>
            </w:pPr>
          </w:p>
        </w:tc>
      </w:tr>
      <w:tr w14:paraId="40700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D2846DF">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10.2</w:t>
            </w:r>
          </w:p>
        </w:tc>
        <w:tc>
          <w:tcPr>
            <w:tcW w:w="14023" w:type="dxa"/>
            <w:gridSpan w:val="3"/>
            <w:tcMar>
              <w:left w:w="45" w:type="dxa"/>
              <w:right w:w="45" w:type="dxa"/>
            </w:tcMar>
            <w:vAlign w:val="center"/>
          </w:tcPr>
          <w:p w14:paraId="7D339F37">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场所与设施</w:t>
            </w:r>
          </w:p>
        </w:tc>
      </w:tr>
      <w:tr w14:paraId="1338D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50C8CB0">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10.2.1</w:t>
            </w:r>
          </w:p>
        </w:tc>
        <w:tc>
          <w:tcPr>
            <w:tcW w:w="3703" w:type="dxa"/>
            <w:tcMar>
              <w:left w:w="45" w:type="dxa"/>
              <w:right w:w="45" w:type="dxa"/>
            </w:tcMar>
            <w:vAlign w:val="center"/>
          </w:tcPr>
          <w:p w14:paraId="6D7DF4BB">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实验室安全防范设施达到相应生物安全实验室要求，各区域分布合理、气压符合要求</w:t>
            </w:r>
          </w:p>
        </w:tc>
        <w:tc>
          <w:tcPr>
            <w:tcW w:w="7777" w:type="dxa"/>
            <w:tcMar>
              <w:left w:w="45" w:type="dxa"/>
              <w:right w:w="45" w:type="dxa"/>
            </w:tcMar>
            <w:vAlign w:val="center"/>
          </w:tcPr>
          <w:p w14:paraId="14229E00">
            <w:pPr>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（185）</w:t>
            </w:r>
            <w:r>
              <w:rPr>
                <w:rFonts w:hint="default" w:ascii="Times New Roman" w:hAnsi="Times New Roman" w:eastAsia="仿宋_GB2312" w:cs="Times New Roman"/>
                <w:b/>
                <w:bCs/>
                <w:color w:val="auto"/>
                <w:kern w:val="0"/>
                <w:szCs w:val="21"/>
              </w:rPr>
              <w:t>实验室须设门禁管理和准入制度，储存病原微生物的场所或储柜配备防盗设施</w:t>
            </w:r>
            <w:r>
              <w:rPr>
                <w:rFonts w:hint="default" w:ascii="Times New Roman" w:hAnsi="Times New Roman" w:eastAsia="仿宋_GB2312" w:cs="Times New Roman"/>
                <w:color w:val="auto"/>
                <w:kern w:val="0"/>
                <w:szCs w:val="21"/>
              </w:rPr>
              <w:t>，</w:t>
            </w:r>
            <w:r>
              <w:rPr>
                <w:rFonts w:hint="default" w:ascii="Times New Roman" w:hAnsi="Times New Roman" w:eastAsia="仿宋_GB2312" w:cs="Times New Roman"/>
                <w:color w:val="auto"/>
                <w:kern w:val="0"/>
              </w:rPr>
              <w:t>BSL-3/ABSL-3及以上安全等级实验室须</w:t>
            </w:r>
            <w:r>
              <w:rPr>
                <w:rFonts w:hint="default" w:ascii="Times New Roman" w:hAnsi="Times New Roman" w:eastAsia="仿宋_GB2312" w:cs="Times New Roman"/>
                <w:color w:val="auto"/>
                <w:kern w:val="0"/>
                <w:szCs w:val="21"/>
              </w:rPr>
              <w:t>安装监控报警装置</w:t>
            </w:r>
          </w:p>
        </w:tc>
        <w:tc>
          <w:tcPr>
            <w:tcW w:w="2543" w:type="dxa"/>
            <w:tcMar>
              <w:left w:w="45" w:type="dxa"/>
              <w:right w:w="45" w:type="dxa"/>
            </w:tcMar>
            <w:vAlign w:val="center"/>
          </w:tcPr>
          <w:p w14:paraId="0F14276A">
            <w:pPr>
              <w:pStyle w:val="55"/>
              <w:spacing w:line="360" w:lineRule="auto"/>
              <w:ind w:firstLine="0" w:firstLineChars="0"/>
              <w:rPr>
                <w:rFonts w:hint="default" w:ascii="Times New Roman" w:hAnsi="Times New Roman" w:eastAsia="仿宋_GB2312" w:cs="Times New Roman"/>
                <w:b/>
                <w:bCs/>
                <w:color w:val="auto"/>
                <w:kern w:val="0"/>
              </w:rPr>
            </w:pPr>
          </w:p>
        </w:tc>
      </w:tr>
      <w:tr w14:paraId="6C209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69A8F54">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10.2.2</w:t>
            </w:r>
          </w:p>
        </w:tc>
        <w:tc>
          <w:tcPr>
            <w:tcW w:w="3703" w:type="dxa"/>
            <w:tcMar>
              <w:left w:w="45" w:type="dxa"/>
              <w:right w:w="45" w:type="dxa"/>
            </w:tcMar>
            <w:vAlign w:val="center"/>
          </w:tcPr>
          <w:p w14:paraId="727950B2">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配有符合相应要求的生物安全设施</w:t>
            </w:r>
          </w:p>
        </w:tc>
        <w:tc>
          <w:tcPr>
            <w:tcW w:w="7777" w:type="dxa"/>
            <w:tcMar>
              <w:left w:w="45" w:type="dxa"/>
              <w:right w:w="45" w:type="dxa"/>
            </w:tcMar>
            <w:vAlign w:val="center"/>
          </w:tcPr>
          <w:p w14:paraId="3319ABEF">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（186）BSL-2以上安全等级实验室须配有II级生物安全柜，ABSL-2适用时配备，并定期进行检测。</w:t>
            </w:r>
            <w:r>
              <w:rPr>
                <w:rFonts w:hint="default" w:ascii="Times New Roman" w:hAnsi="Times New Roman" w:eastAsia="仿宋_GB2312" w:cs="Times New Roman"/>
                <w:bCs/>
                <w:color w:val="auto"/>
                <w:kern w:val="0"/>
                <w:szCs w:val="21"/>
              </w:rPr>
              <w:t>B型生物安全柜不能破坏实验室的整体气流组织。</w:t>
            </w:r>
          </w:p>
          <w:p w14:paraId="7AE5BF9F">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（187）病原微生物实验室应有可靠和充足的电力供应，配备适用的消防器材、洗眼装置和必要的应急喷淋。</w:t>
            </w:r>
          </w:p>
          <w:p w14:paraId="5AF521C2">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188）已设传递窗的实验室要保证传递窗功能正常，内部不存放物品；室外排风口应有防风、防雨、防鼠、防虫设计，但不影响气体向上空排放。相关实验室采取有效措施防止昆虫、啮齿动物进入或逃逸，如安装防虫纱窗、挡鼠板等。</w:t>
            </w:r>
          </w:p>
          <w:p w14:paraId="091CF801">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（189）生物安全实验室配有压力蒸汽灭菌器，按规定要求监测灭菌效果</w:t>
            </w:r>
          </w:p>
        </w:tc>
        <w:tc>
          <w:tcPr>
            <w:tcW w:w="2543" w:type="dxa"/>
            <w:tcMar>
              <w:left w:w="45" w:type="dxa"/>
              <w:right w:w="45" w:type="dxa"/>
            </w:tcMar>
            <w:vAlign w:val="center"/>
          </w:tcPr>
          <w:p w14:paraId="376300C0">
            <w:pPr>
              <w:widowControl/>
              <w:spacing w:line="300" w:lineRule="exact"/>
              <w:rPr>
                <w:rFonts w:hint="default" w:ascii="Times New Roman" w:hAnsi="Times New Roman" w:eastAsia="仿宋_GB2312" w:cs="Times New Roman"/>
                <w:b/>
                <w:bCs/>
                <w:color w:val="auto"/>
                <w:kern w:val="0"/>
              </w:rPr>
            </w:pPr>
          </w:p>
        </w:tc>
      </w:tr>
      <w:tr w14:paraId="4C47E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A3579ED">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10.2.3</w:t>
            </w:r>
          </w:p>
        </w:tc>
        <w:tc>
          <w:tcPr>
            <w:tcW w:w="3703" w:type="dxa"/>
            <w:tcMar>
              <w:left w:w="45" w:type="dxa"/>
              <w:right w:w="45" w:type="dxa"/>
            </w:tcMar>
            <w:vAlign w:val="center"/>
          </w:tcPr>
          <w:p w14:paraId="30934527">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保证消毒和灭菌效果，并注意人员安全</w:t>
            </w:r>
          </w:p>
        </w:tc>
        <w:tc>
          <w:tcPr>
            <w:tcW w:w="7777" w:type="dxa"/>
            <w:tcMar>
              <w:left w:w="45" w:type="dxa"/>
              <w:right w:w="45" w:type="dxa"/>
            </w:tcMar>
            <w:vAlign w:val="center"/>
          </w:tcPr>
          <w:p w14:paraId="1CD0AAA8">
            <w:pPr>
              <w:widowControl/>
              <w:spacing w:line="300" w:lineRule="exact"/>
              <w:rPr>
                <w:rFonts w:hint="eastAsia" w:ascii="Times New Roman" w:hAnsi="Times New Roman" w:eastAsia="仿宋_GB2312" w:cs="Times New Roman"/>
                <w:color w:val="auto"/>
                <w:kern w:val="0"/>
                <w:szCs w:val="21"/>
                <w:lang w:eastAsia="zh-CN"/>
              </w:rPr>
            </w:pPr>
            <w:r>
              <w:rPr>
                <w:rFonts w:hint="default" w:ascii="Times New Roman" w:hAnsi="Times New Roman" w:eastAsia="仿宋_GB2312" w:cs="Times New Roman"/>
                <w:color w:val="auto"/>
                <w:kern w:val="0"/>
                <w:szCs w:val="21"/>
              </w:rPr>
              <w:t>（190）有消毒灭菌制度，根据不同病原微生物选择适宜的消毒灭菌方法</w:t>
            </w:r>
            <w:r>
              <w:rPr>
                <w:rFonts w:hint="eastAsia" w:eastAsia="仿宋_GB2312" w:cs="Times New Roman"/>
                <w:color w:val="auto"/>
                <w:kern w:val="0"/>
                <w:szCs w:val="21"/>
                <w:lang w:eastAsia="zh-CN"/>
              </w:rPr>
              <w:t>。</w:t>
            </w:r>
          </w:p>
          <w:p w14:paraId="1ECFB4FB">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191）使用紫外灯的生物安全实验室应设安全警示标志，尤其要对紫外灯开关张贴警示标识，紫外灯消毒过程中禁止人员进入。采用产生有害气体的消毒方式时应在消毒时间结束后有一定的排风时间，有害气体消散后人员方可进入</w:t>
            </w:r>
          </w:p>
        </w:tc>
        <w:tc>
          <w:tcPr>
            <w:tcW w:w="2543" w:type="dxa"/>
            <w:tcMar>
              <w:left w:w="45" w:type="dxa"/>
              <w:right w:w="45" w:type="dxa"/>
            </w:tcMar>
            <w:vAlign w:val="center"/>
          </w:tcPr>
          <w:p w14:paraId="215EC8BE">
            <w:pPr>
              <w:pStyle w:val="6"/>
              <w:jc w:val="both"/>
              <w:rPr>
                <w:rFonts w:hint="default" w:ascii="Times New Roman" w:hAnsi="Times New Roman" w:eastAsia="仿宋_GB2312" w:cs="Times New Roman"/>
                <w:color w:val="auto"/>
              </w:rPr>
            </w:pPr>
          </w:p>
        </w:tc>
      </w:tr>
      <w:tr w14:paraId="2B574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D5F0542">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10.3</w:t>
            </w:r>
          </w:p>
        </w:tc>
        <w:tc>
          <w:tcPr>
            <w:tcW w:w="14023" w:type="dxa"/>
            <w:gridSpan w:val="3"/>
            <w:tcMar>
              <w:left w:w="45" w:type="dxa"/>
              <w:right w:w="45" w:type="dxa"/>
            </w:tcMar>
            <w:vAlign w:val="center"/>
          </w:tcPr>
          <w:p w14:paraId="4159C13E">
            <w:pPr>
              <w:widowControl/>
              <w:spacing w:line="300" w:lineRule="exact"/>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病原微生物获取与保管</w:t>
            </w:r>
          </w:p>
        </w:tc>
      </w:tr>
      <w:tr w14:paraId="0F10F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DA15C63">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10.3.1</w:t>
            </w:r>
          </w:p>
        </w:tc>
        <w:tc>
          <w:tcPr>
            <w:tcW w:w="3703" w:type="dxa"/>
            <w:tcMar>
              <w:left w:w="45" w:type="dxa"/>
              <w:right w:w="45" w:type="dxa"/>
            </w:tcMar>
            <w:vAlign w:val="center"/>
          </w:tcPr>
          <w:p w14:paraId="42622625">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使用高致病性病原微生物菌（毒）种，须办理相应申请和报批手续</w:t>
            </w:r>
          </w:p>
        </w:tc>
        <w:tc>
          <w:tcPr>
            <w:tcW w:w="7777" w:type="dxa"/>
            <w:tcMar>
              <w:left w:w="45" w:type="dxa"/>
              <w:right w:w="45" w:type="dxa"/>
            </w:tcMar>
            <w:vAlign w:val="center"/>
          </w:tcPr>
          <w:p w14:paraId="4A5E2DA9">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（192）合规获取病原微生物菌（毒）株，学校应有审批流程。</w:t>
            </w:r>
          </w:p>
          <w:p w14:paraId="1A0A8C88">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（193）转移和运输高致病病原微生物须按规定报卫生健康或农业农村主管部门批准，并按相应的运输包装要求包装后转移和运输</w:t>
            </w:r>
          </w:p>
        </w:tc>
        <w:tc>
          <w:tcPr>
            <w:tcW w:w="2543" w:type="dxa"/>
            <w:tcMar>
              <w:left w:w="45" w:type="dxa"/>
              <w:right w:w="45" w:type="dxa"/>
            </w:tcMar>
            <w:vAlign w:val="center"/>
          </w:tcPr>
          <w:p w14:paraId="21BDF29C">
            <w:pPr>
              <w:widowControl/>
              <w:spacing w:line="300" w:lineRule="exact"/>
              <w:rPr>
                <w:rFonts w:hint="default" w:ascii="Times New Roman" w:hAnsi="Times New Roman" w:eastAsia="仿宋_GB2312" w:cs="Times New Roman"/>
                <w:color w:val="auto"/>
                <w:kern w:val="0"/>
                <w:szCs w:val="21"/>
              </w:rPr>
            </w:pPr>
          </w:p>
        </w:tc>
      </w:tr>
      <w:tr w14:paraId="175E7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9BF0BCF">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10.3.2</w:t>
            </w:r>
          </w:p>
        </w:tc>
        <w:tc>
          <w:tcPr>
            <w:tcW w:w="3703" w:type="dxa"/>
            <w:tcMar>
              <w:left w:w="45" w:type="dxa"/>
              <w:right w:w="45" w:type="dxa"/>
            </w:tcMar>
            <w:vAlign w:val="center"/>
          </w:tcPr>
          <w:p w14:paraId="5134B4AD">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高致病性病原微生物菌（毒）种应妥善保存和严格管理</w:t>
            </w:r>
          </w:p>
        </w:tc>
        <w:tc>
          <w:tcPr>
            <w:tcW w:w="7777" w:type="dxa"/>
            <w:tcMar>
              <w:left w:w="45" w:type="dxa"/>
              <w:right w:w="45" w:type="dxa"/>
            </w:tcMar>
            <w:vAlign w:val="center"/>
          </w:tcPr>
          <w:p w14:paraId="6E043EB1">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（194）病原微生物菌（毒）种保存在带锁的冰箱中，高致病性病原微生物实行双人双锁管理。有病原微生物菌（毒）种保存、实验使用、销毁的记录</w:t>
            </w:r>
          </w:p>
        </w:tc>
        <w:tc>
          <w:tcPr>
            <w:tcW w:w="2543" w:type="dxa"/>
            <w:tcMar>
              <w:left w:w="45" w:type="dxa"/>
              <w:right w:w="45" w:type="dxa"/>
            </w:tcMar>
            <w:vAlign w:val="center"/>
          </w:tcPr>
          <w:p w14:paraId="33E5F115">
            <w:pPr>
              <w:widowControl/>
              <w:spacing w:line="300" w:lineRule="exact"/>
              <w:rPr>
                <w:rFonts w:hint="default" w:ascii="Times New Roman" w:hAnsi="Times New Roman" w:eastAsia="仿宋_GB2312" w:cs="Times New Roman"/>
                <w:bCs/>
                <w:color w:val="auto"/>
                <w:kern w:val="0"/>
                <w:szCs w:val="21"/>
              </w:rPr>
            </w:pPr>
          </w:p>
        </w:tc>
      </w:tr>
      <w:tr w14:paraId="0024D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D46170D">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10.4</w:t>
            </w:r>
          </w:p>
        </w:tc>
        <w:tc>
          <w:tcPr>
            <w:tcW w:w="14023" w:type="dxa"/>
            <w:gridSpan w:val="3"/>
            <w:tcMar>
              <w:left w:w="45" w:type="dxa"/>
              <w:right w:w="45" w:type="dxa"/>
            </w:tcMar>
            <w:vAlign w:val="center"/>
          </w:tcPr>
          <w:p w14:paraId="24EF01CD">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人员管理</w:t>
            </w:r>
            <w:bookmarkStart w:id="3" w:name="_GoBack"/>
            <w:bookmarkEnd w:id="3"/>
          </w:p>
        </w:tc>
      </w:tr>
      <w:tr w14:paraId="49180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F9F740B">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10.4.1</w:t>
            </w:r>
          </w:p>
        </w:tc>
        <w:tc>
          <w:tcPr>
            <w:tcW w:w="3703" w:type="dxa"/>
            <w:tcMar>
              <w:left w:w="45" w:type="dxa"/>
              <w:right w:w="45" w:type="dxa"/>
            </w:tcMar>
            <w:vAlign w:val="center"/>
          </w:tcPr>
          <w:p w14:paraId="43339B38">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开展病原微生物相关实验和研究的人员经过专业培训</w:t>
            </w:r>
          </w:p>
        </w:tc>
        <w:tc>
          <w:tcPr>
            <w:tcW w:w="7777" w:type="dxa"/>
            <w:tcMar>
              <w:left w:w="45" w:type="dxa"/>
              <w:right w:w="45" w:type="dxa"/>
            </w:tcMar>
            <w:vAlign w:val="center"/>
          </w:tcPr>
          <w:p w14:paraId="2DD697AD">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（195）人员经考核合格，并取得证书。</w:t>
            </w:r>
          </w:p>
        </w:tc>
        <w:tc>
          <w:tcPr>
            <w:tcW w:w="2543" w:type="dxa"/>
            <w:tcMar>
              <w:left w:w="45" w:type="dxa"/>
              <w:right w:w="45" w:type="dxa"/>
            </w:tcMar>
            <w:vAlign w:val="center"/>
          </w:tcPr>
          <w:p w14:paraId="1C8583A5">
            <w:pPr>
              <w:widowControl/>
              <w:spacing w:line="300" w:lineRule="exact"/>
              <w:rPr>
                <w:rFonts w:hint="default" w:ascii="Times New Roman" w:hAnsi="Times New Roman" w:eastAsia="仿宋_GB2312" w:cs="Times New Roman"/>
                <w:bCs/>
                <w:color w:val="auto"/>
                <w:kern w:val="0"/>
                <w:szCs w:val="21"/>
              </w:rPr>
            </w:pPr>
          </w:p>
        </w:tc>
      </w:tr>
      <w:tr w14:paraId="7D2DD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92391E8">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10.4.2</w:t>
            </w:r>
          </w:p>
        </w:tc>
        <w:tc>
          <w:tcPr>
            <w:tcW w:w="3703" w:type="dxa"/>
            <w:tcMar>
              <w:left w:w="45" w:type="dxa"/>
              <w:right w:w="45" w:type="dxa"/>
            </w:tcMar>
            <w:vAlign w:val="center"/>
          </w:tcPr>
          <w:p w14:paraId="24A142BB">
            <w:pPr>
              <w:widowControl/>
              <w:spacing w:line="300" w:lineRule="exact"/>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从事高致病性病原微生物相关实验活动的实验室，应当对实验室工作人员进行健康监测</w:t>
            </w:r>
          </w:p>
        </w:tc>
        <w:tc>
          <w:tcPr>
            <w:tcW w:w="7777" w:type="dxa"/>
            <w:tcMar>
              <w:left w:w="45" w:type="dxa"/>
              <w:right w:w="45" w:type="dxa"/>
            </w:tcMar>
            <w:vAlign w:val="center"/>
          </w:tcPr>
          <w:p w14:paraId="5989C46B">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szCs w:val="21"/>
              </w:rPr>
              <w:t>（196）实施健康监测和治疗方案，并妥善保存相应的医学记录。</w:t>
            </w:r>
            <w:r>
              <w:rPr>
                <w:rFonts w:hint="default" w:ascii="Times New Roman" w:hAnsi="Times New Roman" w:eastAsia="仿宋_GB2312" w:cs="Times New Roman"/>
                <w:bCs/>
                <w:color w:val="auto"/>
                <w:kern w:val="0"/>
                <w:szCs w:val="21"/>
              </w:rPr>
              <w:t>有上岗前体检和离岗体检，长期工作有定期体检</w:t>
            </w:r>
          </w:p>
        </w:tc>
        <w:tc>
          <w:tcPr>
            <w:tcW w:w="2543" w:type="dxa"/>
            <w:tcMar>
              <w:left w:w="45" w:type="dxa"/>
              <w:right w:w="45" w:type="dxa"/>
            </w:tcMar>
            <w:vAlign w:val="center"/>
          </w:tcPr>
          <w:p w14:paraId="15411776">
            <w:pPr>
              <w:widowControl/>
              <w:spacing w:line="300" w:lineRule="exact"/>
              <w:rPr>
                <w:rFonts w:hint="default" w:ascii="Times New Roman" w:hAnsi="Times New Roman" w:eastAsia="仿宋_GB2312" w:cs="Times New Roman"/>
                <w:bCs/>
                <w:color w:val="auto"/>
                <w:kern w:val="0"/>
                <w:szCs w:val="21"/>
              </w:rPr>
            </w:pPr>
          </w:p>
        </w:tc>
      </w:tr>
      <w:tr w14:paraId="4851B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23DE2AD">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10.4.3</w:t>
            </w:r>
          </w:p>
        </w:tc>
        <w:tc>
          <w:tcPr>
            <w:tcW w:w="3703" w:type="dxa"/>
            <w:tcMar>
              <w:left w:w="45" w:type="dxa"/>
              <w:right w:w="45" w:type="dxa"/>
            </w:tcMar>
            <w:vAlign w:val="center"/>
          </w:tcPr>
          <w:p w14:paraId="7B2DFF41">
            <w:pPr>
              <w:widowControl/>
              <w:spacing w:line="300" w:lineRule="exact"/>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制定相应的人员准入制度</w:t>
            </w:r>
          </w:p>
        </w:tc>
        <w:tc>
          <w:tcPr>
            <w:tcW w:w="7777" w:type="dxa"/>
            <w:tcMar>
              <w:left w:w="45" w:type="dxa"/>
              <w:right w:w="45" w:type="dxa"/>
            </w:tcMar>
            <w:vAlign w:val="center"/>
          </w:tcPr>
          <w:p w14:paraId="2EA65CD9">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szCs w:val="21"/>
              </w:rPr>
              <w:t>（197）外来人员进入生物安全实验室须经负责人批准，并有相关的教育培训、安全防控措施</w:t>
            </w:r>
            <w:r>
              <w:rPr>
                <w:rFonts w:hint="default" w:ascii="Times New Roman" w:hAnsi="Times New Roman" w:eastAsia="仿宋_GB2312" w:cs="Times New Roman"/>
                <w:bCs/>
                <w:color w:val="auto"/>
                <w:kern w:val="0"/>
                <w:szCs w:val="21"/>
              </w:rPr>
              <w:t>。出现感冒发热等症状时，不得进行病原微生物实验</w:t>
            </w:r>
          </w:p>
        </w:tc>
        <w:tc>
          <w:tcPr>
            <w:tcW w:w="2543" w:type="dxa"/>
            <w:tcMar>
              <w:left w:w="45" w:type="dxa"/>
              <w:right w:w="45" w:type="dxa"/>
            </w:tcMar>
            <w:vAlign w:val="center"/>
          </w:tcPr>
          <w:p w14:paraId="3F44AA9A">
            <w:pPr>
              <w:widowControl/>
              <w:spacing w:line="300" w:lineRule="exact"/>
              <w:rPr>
                <w:rFonts w:hint="default" w:ascii="Times New Roman" w:hAnsi="Times New Roman" w:eastAsia="仿宋_GB2312" w:cs="Times New Roman"/>
                <w:bCs/>
                <w:color w:val="auto"/>
                <w:kern w:val="0"/>
                <w:szCs w:val="21"/>
              </w:rPr>
            </w:pPr>
          </w:p>
        </w:tc>
      </w:tr>
      <w:tr w14:paraId="2BA0E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113A0B9">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10.5</w:t>
            </w:r>
          </w:p>
        </w:tc>
        <w:tc>
          <w:tcPr>
            <w:tcW w:w="14023" w:type="dxa"/>
            <w:gridSpan w:val="3"/>
            <w:tcMar>
              <w:left w:w="45" w:type="dxa"/>
              <w:right w:w="45" w:type="dxa"/>
            </w:tcMar>
            <w:vAlign w:val="center"/>
          </w:tcPr>
          <w:p w14:paraId="69097A2C">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操作与管理</w:t>
            </w:r>
          </w:p>
        </w:tc>
      </w:tr>
      <w:tr w14:paraId="70164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6D215BF">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10.5.1</w:t>
            </w:r>
          </w:p>
        </w:tc>
        <w:tc>
          <w:tcPr>
            <w:tcW w:w="3703" w:type="dxa"/>
            <w:tcMar>
              <w:left w:w="45" w:type="dxa"/>
              <w:right w:w="45" w:type="dxa"/>
            </w:tcMar>
            <w:vAlign w:val="center"/>
          </w:tcPr>
          <w:p w14:paraId="54991D26">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制定并采用生物安全手册，有相关标准操作规范</w:t>
            </w:r>
          </w:p>
        </w:tc>
        <w:tc>
          <w:tcPr>
            <w:tcW w:w="7777" w:type="dxa"/>
            <w:tcMar>
              <w:left w:w="45" w:type="dxa"/>
              <w:right w:w="45" w:type="dxa"/>
            </w:tcMar>
            <w:vAlign w:val="center"/>
          </w:tcPr>
          <w:p w14:paraId="11000FB4">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（198）有从事病原微生物相关实验活动的标准操作规范</w:t>
            </w:r>
          </w:p>
        </w:tc>
        <w:tc>
          <w:tcPr>
            <w:tcW w:w="2543" w:type="dxa"/>
            <w:tcMar>
              <w:left w:w="45" w:type="dxa"/>
              <w:right w:w="45" w:type="dxa"/>
            </w:tcMar>
            <w:vAlign w:val="center"/>
          </w:tcPr>
          <w:p w14:paraId="4A671826">
            <w:pPr>
              <w:widowControl/>
              <w:spacing w:line="300" w:lineRule="exact"/>
              <w:rPr>
                <w:rFonts w:hint="default" w:ascii="Times New Roman" w:hAnsi="Times New Roman" w:eastAsia="仿宋_GB2312" w:cs="Times New Roman"/>
                <w:bCs/>
                <w:color w:val="auto"/>
                <w:kern w:val="0"/>
                <w:szCs w:val="21"/>
              </w:rPr>
            </w:pPr>
          </w:p>
        </w:tc>
      </w:tr>
      <w:tr w14:paraId="315ED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1A0DD71">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10.5.2</w:t>
            </w:r>
          </w:p>
        </w:tc>
        <w:tc>
          <w:tcPr>
            <w:tcW w:w="3703" w:type="dxa"/>
            <w:tcMar>
              <w:left w:w="45" w:type="dxa"/>
              <w:right w:w="45" w:type="dxa"/>
            </w:tcMar>
            <w:vAlign w:val="center"/>
          </w:tcPr>
          <w:p w14:paraId="335C0634">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开展相关实验活动的风险评估和制定相应的应急预案</w:t>
            </w:r>
          </w:p>
        </w:tc>
        <w:tc>
          <w:tcPr>
            <w:tcW w:w="7777" w:type="dxa"/>
            <w:tcMar>
              <w:left w:w="45" w:type="dxa"/>
              <w:right w:w="45" w:type="dxa"/>
            </w:tcMar>
            <w:vAlign w:val="center"/>
          </w:tcPr>
          <w:p w14:paraId="6C66BDAC">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（199）</w:t>
            </w:r>
            <w:r>
              <w:rPr>
                <w:rFonts w:hint="default" w:ascii="Times New Roman" w:hAnsi="Times New Roman" w:eastAsia="仿宋_GB2312" w:cs="Times New Roman"/>
                <w:b/>
                <w:bCs/>
                <w:color w:val="auto"/>
                <w:kern w:val="0"/>
                <w:szCs w:val="21"/>
              </w:rPr>
              <w:t>开展病原微生物的相关实验活动应有风险评估和应急预案，包括</w:t>
            </w:r>
            <w:r>
              <w:rPr>
                <w:rFonts w:hint="default" w:ascii="Times New Roman" w:hAnsi="Times New Roman" w:eastAsia="仿宋_GB2312" w:cs="Times New Roman"/>
                <w:b/>
                <w:bCs/>
                <w:color w:val="auto"/>
                <w:szCs w:val="21"/>
              </w:rPr>
              <w:t>病原微生物及感染材料溢洒和意外事故的书面处置程序</w:t>
            </w:r>
          </w:p>
        </w:tc>
        <w:tc>
          <w:tcPr>
            <w:tcW w:w="2543" w:type="dxa"/>
            <w:tcMar>
              <w:left w:w="45" w:type="dxa"/>
              <w:right w:w="45" w:type="dxa"/>
            </w:tcMar>
            <w:vAlign w:val="center"/>
          </w:tcPr>
          <w:p w14:paraId="3C8765F2">
            <w:pPr>
              <w:widowControl/>
              <w:spacing w:line="300" w:lineRule="exact"/>
              <w:rPr>
                <w:rFonts w:hint="default" w:ascii="Times New Roman" w:hAnsi="Times New Roman" w:eastAsia="仿宋_GB2312" w:cs="Times New Roman"/>
                <w:bCs/>
                <w:color w:val="auto"/>
                <w:kern w:val="0"/>
                <w:szCs w:val="21"/>
              </w:rPr>
            </w:pPr>
          </w:p>
        </w:tc>
      </w:tr>
      <w:tr w14:paraId="43CDE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E314826">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10.5.3</w:t>
            </w:r>
          </w:p>
        </w:tc>
        <w:tc>
          <w:tcPr>
            <w:tcW w:w="3703" w:type="dxa"/>
            <w:tcMar>
              <w:left w:w="45" w:type="dxa"/>
              <w:right w:w="45" w:type="dxa"/>
            </w:tcMar>
            <w:vAlign w:val="center"/>
          </w:tcPr>
          <w:p w14:paraId="63A99991">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实验操作合规，安全防护措施合理</w:t>
            </w:r>
          </w:p>
        </w:tc>
        <w:tc>
          <w:tcPr>
            <w:tcW w:w="7777" w:type="dxa"/>
            <w:tcMar>
              <w:left w:w="45" w:type="dxa"/>
              <w:right w:w="45" w:type="dxa"/>
            </w:tcMar>
            <w:vAlign w:val="center"/>
          </w:tcPr>
          <w:p w14:paraId="7C753F9E">
            <w:pPr>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（200）在合适的生物安全柜中进行实验操作</w:t>
            </w:r>
            <w:r>
              <w:rPr>
                <w:rFonts w:hint="default" w:ascii="Times New Roman" w:hAnsi="Times New Roman" w:eastAsia="仿宋_GB2312" w:cs="Times New Roman"/>
                <w:bCs/>
                <w:color w:val="auto"/>
                <w:kern w:val="0"/>
                <w:szCs w:val="21"/>
              </w:rPr>
              <w:t>，不得在超净工作台中进行病原微生物实验。</w:t>
            </w:r>
          </w:p>
          <w:p w14:paraId="39167879">
            <w:pPr>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bCs/>
                <w:color w:val="auto"/>
                <w:kern w:val="0"/>
                <w:szCs w:val="21"/>
              </w:rPr>
              <w:t>（201）应按标准操作规程</w:t>
            </w:r>
            <w:r>
              <w:rPr>
                <w:rFonts w:hint="default" w:ascii="Times New Roman" w:hAnsi="Times New Roman" w:eastAsia="仿宋_GB2312" w:cs="Times New Roman"/>
                <w:color w:val="auto"/>
                <w:kern w:val="0"/>
                <w:szCs w:val="21"/>
              </w:rPr>
              <w:t>安全操作高速离心机等设备，小心防止离心管破损或盖子破裂造成溢洒或气溶胶扩散。</w:t>
            </w:r>
          </w:p>
          <w:p w14:paraId="2E189F56">
            <w:pPr>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（202）有合适的个体防护措施，</w:t>
            </w:r>
            <w:r>
              <w:rPr>
                <w:rFonts w:hint="default" w:ascii="Times New Roman" w:hAnsi="Times New Roman" w:eastAsia="仿宋_GB2312" w:cs="Times New Roman"/>
                <w:color w:val="auto"/>
                <w:szCs w:val="21"/>
              </w:rPr>
              <w:t>禁止戴防护手套操作</w:t>
            </w:r>
            <w:r>
              <w:rPr>
                <w:rFonts w:hint="default" w:ascii="Times New Roman" w:hAnsi="Times New Roman" w:eastAsia="仿宋_GB2312" w:cs="Times New Roman"/>
                <w:color w:val="auto"/>
              </w:rPr>
              <w:t>相关实验以外的</w:t>
            </w:r>
            <w:r>
              <w:rPr>
                <w:rFonts w:hint="default" w:ascii="Times New Roman" w:hAnsi="Times New Roman" w:eastAsia="仿宋_GB2312" w:cs="Times New Roman"/>
                <w:color w:val="auto"/>
                <w:szCs w:val="21"/>
              </w:rPr>
              <w:t>设施设备</w:t>
            </w:r>
          </w:p>
        </w:tc>
        <w:tc>
          <w:tcPr>
            <w:tcW w:w="2543" w:type="dxa"/>
            <w:tcMar>
              <w:left w:w="45" w:type="dxa"/>
              <w:right w:w="45" w:type="dxa"/>
            </w:tcMar>
            <w:vAlign w:val="center"/>
          </w:tcPr>
          <w:p w14:paraId="01A576DF">
            <w:pPr>
              <w:pStyle w:val="55"/>
              <w:spacing w:line="360" w:lineRule="auto"/>
              <w:ind w:firstLine="0" w:firstLineChars="0"/>
              <w:rPr>
                <w:rFonts w:hint="default" w:ascii="Times New Roman" w:hAnsi="Times New Roman" w:eastAsia="仿宋_GB2312" w:cs="Times New Roman"/>
                <w:bCs/>
                <w:color w:val="auto"/>
                <w:kern w:val="0"/>
              </w:rPr>
            </w:pPr>
          </w:p>
        </w:tc>
      </w:tr>
      <w:tr w14:paraId="668AA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D2BBDD0">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10.6</w:t>
            </w:r>
          </w:p>
        </w:tc>
        <w:tc>
          <w:tcPr>
            <w:tcW w:w="14023" w:type="dxa"/>
            <w:gridSpan w:val="3"/>
            <w:tcMar>
              <w:left w:w="45" w:type="dxa"/>
              <w:right w:w="45" w:type="dxa"/>
            </w:tcMar>
            <w:vAlign w:val="center"/>
          </w:tcPr>
          <w:p w14:paraId="221DA689">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
                <w:color w:val="auto"/>
                <w:kern w:val="0"/>
                <w:szCs w:val="21"/>
              </w:rPr>
              <w:t>实验动物安全</w:t>
            </w:r>
          </w:p>
        </w:tc>
      </w:tr>
      <w:tr w14:paraId="1131F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FDC1839">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10.6.1</w:t>
            </w:r>
          </w:p>
        </w:tc>
        <w:tc>
          <w:tcPr>
            <w:tcW w:w="3703" w:type="dxa"/>
            <w:tcMar>
              <w:left w:w="45" w:type="dxa"/>
              <w:right w:w="45" w:type="dxa"/>
            </w:tcMar>
            <w:vAlign w:val="center"/>
          </w:tcPr>
          <w:p w14:paraId="699A3652">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实验动物的购买、饲养、解剖等须符合相关规定</w:t>
            </w:r>
          </w:p>
        </w:tc>
        <w:tc>
          <w:tcPr>
            <w:tcW w:w="7777" w:type="dxa"/>
            <w:tcMar>
              <w:left w:w="45" w:type="dxa"/>
              <w:right w:w="45" w:type="dxa"/>
            </w:tcMar>
            <w:vAlign w:val="center"/>
          </w:tcPr>
          <w:p w14:paraId="5C22CC1E">
            <w:pPr>
              <w:widowControl/>
              <w:spacing w:line="300" w:lineRule="exact"/>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kern w:val="0"/>
                <w:szCs w:val="21"/>
              </w:rPr>
              <w:t>（203）饲养实验动物的场所应有资质证书，实验动物须从具有资质的单位购买，有合格证明，</w:t>
            </w:r>
            <w:r>
              <w:rPr>
                <w:rFonts w:hint="default" w:ascii="Times New Roman" w:hAnsi="Times New Roman" w:eastAsia="仿宋_GB2312" w:cs="Times New Roman"/>
                <w:color w:val="auto"/>
                <w:szCs w:val="21"/>
              </w:rPr>
              <w:t>用于解剖的实验动物须经过检验检疫合格。</w:t>
            </w:r>
          </w:p>
          <w:p w14:paraId="3DFD7D0E">
            <w:pPr>
              <w:widowControl/>
              <w:spacing w:line="300" w:lineRule="exact"/>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（204）解剖实验动物时，必须做好个人安全防护。</w:t>
            </w:r>
          </w:p>
          <w:p w14:paraId="40B359FA">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szCs w:val="21"/>
              </w:rPr>
              <w:t>（205）对直接接触实验动物的工作人员，须定期组织健康检查</w:t>
            </w:r>
          </w:p>
        </w:tc>
        <w:tc>
          <w:tcPr>
            <w:tcW w:w="2543" w:type="dxa"/>
            <w:tcMar>
              <w:left w:w="45" w:type="dxa"/>
              <w:right w:w="45" w:type="dxa"/>
            </w:tcMar>
            <w:vAlign w:val="center"/>
          </w:tcPr>
          <w:p w14:paraId="3B8FA822">
            <w:pPr>
              <w:widowControl/>
              <w:spacing w:line="300" w:lineRule="exact"/>
              <w:rPr>
                <w:rFonts w:hint="default" w:ascii="Times New Roman" w:hAnsi="Times New Roman" w:eastAsia="仿宋_GB2312" w:cs="Times New Roman"/>
                <w:bCs/>
                <w:color w:val="auto"/>
                <w:kern w:val="0"/>
                <w:szCs w:val="21"/>
              </w:rPr>
            </w:pPr>
          </w:p>
        </w:tc>
      </w:tr>
      <w:tr w14:paraId="4DED4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41609F5">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10.6.2</w:t>
            </w:r>
          </w:p>
        </w:tc>
        <w:tc>
          <w:tcPr>
            <w:tcW w:w="3703" w:type="dxa"/>
            <w:tcMar>
              <w:left w:w="45" w:type="dxa"/>
              <w:right w:w="45" w:type="dxa"/>
            </w:tcMar>
            <w:vAlign w:val="center"/>
          </w:tcPr>
          <w:p w14:paraId="1C88D698">
            <w:pPr>
              <w:widowControl/>
              <w:spacing w:line="300" w:lineRule="exact"/>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kern w:val="0"/>
                <w:szCs w:val="21"/>
              </w:rPr>
              <w:t>动物实验按相关规定进行实验动物福利伦理审查</w:t>
            </w:r>
          </w:p>
        </w:tc>
        <w:tc>
          <w:tcPr>
            <w:tcW w:w="7777" w:type="dxa"/>
            <w:tcMar>
              <w:left w:w="45" w:type="dxa"/>
              <w:right w:w="45" w:type="dxa"/>
            </w:tcMar>
            <w:vAlign w:val="center"/>
          </w:tcPr>
          <w:p w14:paraId="489D4FD9">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（206）学校有实验动物福利伦理审查机构，查看审查记录</w:t>
            </w:r>
          </w:p>
        </w:tc>
        <w:tc>
          <w:tcPr>
            <w:tcW w:w="2543" w:type="dxa"/>
            <w:tcMar>
              <w:left w:w="45" w:type="dxa"/>
              <w:right w:w="45" w:type="dxa"/>
            </w:tcMar>
            <w:vAlign w:val="center"/>
          </w:tcPr>
          <w:p w14:paraId="560D0E60">
            <w:pPr>
              <w:widowControl/>
              <w:spacing w:line="300" w:lineRule="exact"/>
              <w:rPr>
                <w:rFonts w:hint="default" w:ascii="Times New Roman" w:hAnsi="Times New Roman" w:eastAsia="仿宋_GB2312" w:cs="Times New Roman"/>
                <w:bCs/>
                <w:color w:val="auto"/>
                <w:kern w:val="0"/>
                <w:szCs w:val="21"/>
              </w:rPr>
            </w:pPr>
          </w:p>
        </w:tc>
      </w:tr>
      <w:tr w14:paraId="2AF6E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35D35BC">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10.7</w:t>
            </w:r>
          </w:p>
        </w:tc>
        <w:tc>
          <w:tcPr>
            <w:tcW w:w="14023" w:type="dxa"/>
            <w:gridSpan w:val="3"/>
            <w:tcMar>
              <w:left w:w="45" w:type="dxa"/>
              <w:right w:w="45" w:type="dxa"/>
            </w:tcMar>
            <w:vAlign w:val="center"/>
          </w:tcPr>
          <w:p w14:paraId="49E32B0A">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生物实验废物处置</w:t>
            </w:r>
          </w:p>
        </w:tc>
      </w:tr>
      <w:tr w14:paraId="45156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DC4215B">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10.7.1</w:t>
            </w:r>
          </w:p>
        </w:tc>
        <w:tc>
          <w:tcPr>
            <w:tcW w:w="3703" w:type="dxa"/>
            <w:tcMar>
              <w:left w:w="45" w:type="dxa"/>
              <w:right w:w="45" w:type="dxa"/>
            </w:tcMar>
            <w:vAlign w:val="center"/>
          </w:tcPr>
          <w:p w14:paraId="48407B3F">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生物废弃物的中转和处置规范</w:t>
            </w:r>
          </w:p>
        </w:tc>
        <w:tc>
          <w:tcPr>
            <w:tcW w:w="7777" w:type="dxa"/>
            <w:tcMar>
              <w:left w:w="45" w:type="dxa"/>
              <w:right w:w="45" w:type="dxa"/>
            </w:tcMar>
            <w:vAlign w:val="center"/>
          </w:tcPr>
          <w:p w14:paraId="6CC4FBE5">
            <w:pPr>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（207）学校与有资质的单位签约处置感染性废物，有交接记录，形成电子或者纸质台账。</w:t>
            </w:r>
          </w:p>
          <w:p w14:paraId="5C00827E">
            <w:pPr>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（208）学校有生物废弃物中转站或收集点，生物废物及时收集转运</w:t>
            </w:r>
          </w:p>
        </w:tc>
        <w:tc>
          <w:tcPr>
            <w:tcW w:w="2543" w:type="dxa"/>
            <w:tcMar>
              <w:left w:w="45" w:type="dxa"/>
              <w:right w:w="45" w:type="dxa"/>
            </w:tcMar>
            <w:vAlign w:val="center"/>
          </w:tcPr>
          <w:p w14:paraId="1A9AF0D2">
            <w:pPr>
              <w:widowControl/>
              <w:spacing w:line="300" w:lineRule="exact"/>
              <w:rPr>
                <w:rFonts w:hint="default" w:ascii="Times New Roman" w:hAnsi="Times New Roman" w:eastAsia="仿宋_GB2312" w:cs="Times New Roman"/>
                <w:b/>
                <w:bCs/>
                <w:color w:val="auto"/>
                <w:kern w:val="0"/>
                <w:szCs w:val="21"/>
              </w:rPr>
            </w:pPr>
          </w:p>
        </w:tc>
      </w:tr>
      <w:tr w14:paraId="0628C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05CD524">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10.7.2</w:t>
            </w:r>
          </w:p>
        </w:tc>
        <w:tc>
          <w:tcPr>
            <w:tcW w:w="3703" w:type="dxa"/>
            <w:tcMar>
              <w:left w:w="45" w:type="dxa"/>
              <w:right w:w="45" w:type="dxa"/>
            </w:tcMar>
            <w:vAlign w:val="center"/>
          </w:tcPr>
          <w:p w14:paraId="6469A2B0">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生物废弃物与其他类别废物分开，并且做好防护和消杀</w:t>
            </w:r>
          </w:p>
        </w:tc>
        <w:tc>
          <w:tcPr>
            <w:tcW w:w="7777" w:type="dxa"/>
            <w:tcMar>
              <w:left w:w="45" w:type="dxa"/>
              <w:right w:w="45" w:type="dxa"/>
            </w:tcMar>
            <w:vAlign w:val="center"/>
          </w:tcPr>
          <w:p w14:paraId="43932742">
            <w:pPr>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（209）生物废物应与化学废物、生活垃圾等分开贮存。</w:t>
            </w:r>
          </w:p>
          <w:p w14:paraId="7F55E956">
            <w:pPr>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（210）实验室内配备生物废物垃圾桶（内置</w:t>
            </w:r>
            <w:r>
              <w:rPr>
                <w:rFonts w:hint="default" w:ascii="Times New Roman" w:hAnsi="Times New Roman" w:eastAsia="仿宋_GB2312" w:cs="Times New Roman"/>
                <w:color w:val="auto"/>
                <w:kern w:val="0"/>
              </w:rPr>
              <w:t>生物废物专用</w:t>
            </w:r>
            <w:r>
              <w:rPr>
                <w:rFonts w:hint="default" w:ascii="Times New Roman" w:hAnsi="Times New Roman" w:eastAsia="仿宋_GB2312" w:cs="Times New Roman"/>
                <w:color w:val="auto"/>
                <w:kern w:val="0"/>
                <w:szCs w:val="21"/>
              </w:rPr>
              <w:t>塑料袋），并粘贴专用标签标识。</w:t>
            </w:r>
          </w:p>
          <w:p w14:paraId="1DE58AB2">
            <w:pPr>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（211）刀片、移液枪头等尖锐物应使用利器盒或耐扎纸板箱盛放，送储时再装入生物废物专用塑料袋，贴好标签。</w:t>
            </w:r>
          </w:p>
          <w:p w14:paraId="0A068B49">
            <w:pPr>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（212）动物实验结束后，动物尸体及组织应做无害化处理，感染性废物彻底灭菌后方可处置。</w:t>
            </w:r>
          </w:p>
          <w:p w14:paraId="5D6FC5CD">
            <w:pPr>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（213）涉及病原微生物或其他感染性生物废物必须进行高温高压灭菌或化学浸泡处理，然后由有资质的公司进行最终处置，并保留记录。</w:t>
            </w:r>
          </w:p>
          <w:p w14:paraId="24041F0B">
            <w:pPr>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（214）高致病性生物材料废物处置实现溯源追踪</w:t>
            </w:r>
          </w:p>
        </w:tc>
        <w:tc>
          <w:tcPr>
            <w:tcW w:w="2543" w:type="dxa"/>
            <w:tcMar>
              <w:left w:w="45" w:type="dxa"/>
              <w:right w:w="45" w:type="dxa"/>
            </w:tcMar>
            <w:vAlign w:val="center"/>
          </w:tcPr>
          <w:p w14:paraId="4D27AD1B">
            <w:pPr>
              <w:widowControl/>
              <w:spacing w:line="300" w:lineRule="exact"/>
              <w:rPr>
                <w:rFonts w:hint="default" w:ascii="Times New Roman" w:hAnsi="Times New Roman" w:eastAsia="仿宋_GB2312" w:cs="Times New Roman"/>
                <w:b/>
                <w:bCs/>
                <w:color w:val="auto"/>
                <w:kern w:val="0"/>
              </w:rPr>
            </w:pPr>
          </w:p>
        </w:tc>
      </w:tr>
      <w:tr w14:paraId="70BA8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4CA909A">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11</w:t>
            </w:r>
          </w:p>
        </w:tc>
        <w:tc>
          <w:tcPr>
            <w:tcW w:w="14023" w:type="dxa"/>
            <w:gridSpan w:val="3"/>
            <w:tcMar>
              <w:left w:w="45" w:type="dxa"/>
              <w:right w:w="45" w:type="dxa"/>
            </w:tcMar>
            <w:vAlign w:val="center"/>
          </w:tcPr>
          <w:p w14:paraId="4A1A5EFA">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辐射安全与核材料管制</w:t>
            </w:r>
          </w:p>
        </w:tc>
      </w:tr>
      <w:tr w14:paraId="1C914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DDCB241">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11.1</w:t>
            </w:r>
          </w:p>
        </w:tc>
        <w:tc>
          <w:tcPr>
            <w:tcW w:w="14023" w:type="dxa"/>
            <w:gridSpan w:val="3"/>
            <w:tcMar>
              <w:left w:w="45" w:type="dxa"/>
              <w:right w:w="45" w:type="dxa"/>
            </w:tcMar>
            <w:vAlign w:val="center"/>
          </w:tcPr>
          <w:p w14:paraId="56AF425A">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资质与人员要求</w:t>
            </w:r>
          </w:p>
        </w:tc>
      </w:tr>
      <w:tr w14:paraId="3E5E8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D9A8BA5">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11.1.1</w:t>
            </w:r>
          </w:p>
        </w:tc>
        <w:tc>
          <w:tcPr>
            <w:tcW w:w="3703" w:type="dxa"/>
            <w:tcMar>
              <w:left w:w="45" w:type="dxa"/>
              <w:right w:w="45" w:type="dxa"/>
            </w:tcMar>
            <w:vAlign w:val="center"/>
          </w:tcPr>
          <w:p w14:paraId="7CEBE54C">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color w:val="auto"/>
                <w:szCs w:val="21"/>
              </w:rPr>
              <w:t>辐射工作</w:t>
            </w:r>
            <w:r>
              <w:rPr>
                <w:rFonts w:hint="default" w:ascii="Times New Roman" w:hAnsi="Times New Roman" w:eastAsia="仿宋_GB2312" w:cs="Times New Roman"/>
                <w:bCs/>
                <w:color w:val="auto"/>
                <w:kern w:val="0"/>
                <w:szCs w:val="21"/>
              </w:rPr>
              <w:t>单位须</w:t>
            </w:r>
            <w:r>
              <w:rPr>
                <w:rFonts w:hint="default" w:ascii="Times New Roman" w:hAnsi="Times New Roman" w:eastAsia="仿宋_GB2312" w:cs="Times New Roman"/>
                <w:color w:val="auto"/>
                <w:kern w:val="0"/>
                <w:szCs w:val="21"/>
              </w:rPr>
              <w:t>取得辐射安全许可证</w:t>
            </w:r>
          </w:p>
        </w:tc>
        <w:tc>
          <w:tcPr>
            <w:tcW w:w="7777" w:type="dxa"/>
            <w:tcMar>
              <w:left w:w="45" w:type="dxa"/>
              <w:right w:w="45" w:type="dxa"/>
            </w:tcMar>
            <w:vAlign w:val="center"/>
          </w:tcPr>
          <w:p w14:paraId="00C882D5">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（215）按辐射安全许可证规定的活动种类和范围，在许可的辐射活动场所内开展辐射类实验。除已被生态环境部门豁免管理外，射线装置、放射源或者非密封放射性物质应申领辐射安全许可证</w:t>
            </w:r>
          </w:p>
        </w:tc>
        <w:tc>
          <w:tcPr>
            <w:tcW w:w="2543" w:type="dxa"/>
            <w:tcMar>
              <w:left w:w="45" w:type="dxa"/>
              <w:right w:w="45" w:type="dxa"/>
            </w:tcMar>
            <w:vAlign w:val="center"/>
          </w:tcPr>
          <w:p w14:paraId="274FE059">
            <w:pPr>
              <w:spacing w:line="360" w:lineRule="auto"/>
              <w:rPr>
                <w:rFonts w:hint="default" w:ascii="Times New Roman" w:hAnsi="Times New Roman" w:eastAsia="仿宋_GB2312" w:cs="Times New Roman"/>
                <w:color w:val="auto"/>
                <w:sz w:val="24"/>
              </w:rPr>
            </w:pPr>
          </w:p>
        </w:tc>
      </w:tr>
      <w:tr w14:paraId="64CC0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C85E864">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11.1.2</w:t>
            </w:r>
          </w:p>
        </w:tc>
        <w:tc>
          <w:tcPr>
            <w:tcW w:w="3703" w:type="dxa"/>
            <w:tcMar>
              <w:left w:w="45" w:type="dxa"/>
              <w:right w:w="45" w:type="dxa"/>
            </w:tcMar>
            <w:vAlign w:val="center"/>
          </w:tcPr>
          <w:p w14:paraId="48312057">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辐射工作</w:t>
            </w:r>
            <w:r>
              <w:rPr>
                <w:rFonts w:hint="default" w:ascii="Times New Roman" w:hAnsi="Times New Roman" w:eastAsia="仿宋_GB2312" w:cs="Times New Roman"/>
                <w:color w:val="auto"/>
                <w:kern w:val="0"/>
                <w:szCs w:val="21"/>
              </w:rPr>
              <w:t>人员须经过专门培训，定期参加职业体检</w:t>
            </w:r>
          </w:p>
        </w:tc>
        <w:tc>
          <w:tcPr>
            <w:tcW w:w="7777" w:type="dxa"/>
            <w:tcMar>
              <w:left w:w="45" w:type="dxa"/>
              <w:right w:w="45" w:type="dxa"/>
            </w:tcMar>
            <w:vAlign w:val="center"/>
          </w:tcPr>
          <w:p w14:paraId="1FB2858B">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（216）辐射工作人员应具有生态环境部组织考核的《核技术利用辐射安全与防护考核成绩报告单》，仅从事III类射线装置使用活动的人员可由所在单位自行组织考核。</w:t>
            </w:r>
          </w:p>
          <w:p w14:paraId="1EB9FA78">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（217）</w:t>
            </w:r>
            <w:r>
              <w:rPr>
                <w:rFonts w:hint="default" w:ascii="Times New Roman" w:hAnsi="Times New Roman" w:eastAsia="仿宋_GB2312" w:cs="Times New Roman"/>
                <w:color w:val="auto"/>
                <w:szCs w:val="21"/>
              </w:rPr>
              <w:t>辐射工作</w:t>
            </w:r>
            <w:r>
              <w:rPr>
                <w:rFonts w:hint="default" w:ascii="Times New Roman" w:hAnsi="Times New Roman" w:eastAsia="仿宋_GB2312" w:cs="Times New Roman"/>
                <w:color w:val="auto"/>
                <w:kern w:val="0"/>
                <w:szCs w:val="21"/>
              </w:rPr>
              <w:t>人员按时参加放射性职业体检（2年1次），有健康档案。</w:t>
            </w:r>
          </w:p>
          <w:p w14:paraId="5FCA8052">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（218）</w:t>
            </w:r>
            <w:r>
              <w:rPr>
                <w:rFonts w:hint="default" w:ascii="Times New Roman" w:hAnsi="Times New Roman" w:eastAsia="仿宋_GB2312" w:cs="Times New Roman"/>
                <w:color w:val="auto"/>
                <w:szCs w:val="21"/>
              </w:rPr>
              <w:t>辐射工作</w:t>
            </w:r>
            <w:r>
              <w:rPr>
                <w:rFonts w:hint="default" w:ascii="Times New Roman" w:hAnsi="Times New Roman" w:eastAsia="仿宋_GB2312" w:cs="Times New Roman"/>
                <w:color w:val="auto"/>
                <w:kern w:val="0"/>
                <w:szCs w:val="21"/>
              </w:rPr>
              <w:t>人员进入实验场所须佩戴个人剂量计，剂量计委托有资质的单位按时进行剂量监测（3个月1次）</w:t>
            </w:r>
          </w:p>
        </w:tc>
        <w:tc>
          <w:tcPr>
            <w:tcW w:w="2543" w:type="dxa"/>
            <w:tcMar>
              <w:left w:w="45" w:type="dxa"/>
              <w:right w:w="45" w:type="dxa"/>
            </w:tcMar>
            <w:vAlign w:val="center"/>
          </w:tcPr>
          <w:p w14:paraId="76A9A280">
            <w:pPr>
              <w:spacing w:line="360" w:lineRule="auto"/>
              <w:rPr>
                <w:rFonts w:hint="default" w:ascii="Times New Roman" w:hAnsi="Times New Roman" w:eastAsia="仿宋_GB2312" w:cs="Times New Roman"/>
                <w:bCs/>
                <w:color w:val="auto"/>
                <w:kern w:val="0"/>
                <w:szCs w:val="21"/>
              </w:rPr>
            </w:pPr>
          </w:p>
        </w:tc>
      </w:tr>
      <w:tr w14:paraId="39D7E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2D2AF01">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11.1.3</w:t>
            </w:r>
          </w:p>
        </w:tc>
        <w:tc>
          <w:tcPr>
            <w:tcW w:w="3703" w:type="dxa"/>
            <w:tcMar>
              <w:left w:w="45" w:type="dxa"/>
              <w:right w:w="45" w:type="dxa"/>
            </w:tcMar>
            <w:vAlign w:val="center"/>
          </w:tcPr>
          <w:p w14:paraId="67906292">
            <w:pPr>
              <w:widowControl/>
              <w:spacing w:line="300" w:lineRule="exact"/>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核材料许可证持有单位须建立专职机构或指定专人负责保管核材料，执行国家法律法规要求。有账目与报告制度，保证账物相符</w:t>
            </w:r>
          </w:p>
        </w:tc>
        <w:tc>
          <w:tcPr>
            <w:tcW w:w="7777" w:type="dxa"/>
            <w:tcMar>
              <w:left w:w="45" w:type="dxa"/>
              <w:right w:w="45" w:type="dxa"/>
            </w:tcMar>
            <w:vAlign w:val="center"/>
          </w:tcPr>
          <w:p w14:paraId="29227780">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bCs/>
                <w:color w:val="auto"/>
                <w:kern w:val="0"/>
                <w:szCs w:val="21"/>
              </w:rPr>
              <w:t>（219）持有核材料数量达到法定要求的单位须</w:t>
            </w:r>
            <w:r>
              <w:rPr>
                <w:rFonts w:hint="default" w:ascii="Times New Roman" w:hAnsi="Times New Roman" w:eastAsia="仿宋_GB2312" w:cs="Times New Roman"/>
                <w:color w:val="auto"/>
                <w:kern w:val="0"/>
                <w:szCs w:val="21"/>
              </w:rPr>
              <w:t>取得核材料许可证，</w:t>
            </w:r>
            <w:r>
              <w:rPr>
                <w:rFonts w:hint="default" w:ascii="Times New Roman" w:hAnsi="Times New Roman" w:eastAsia="仿宋_GB2312" w:cs="Times New Roman"/>
                <w:color w:val="auto"/>
                <w:szCs w:val="21"/>
              </w:rPr>
              <w:t>有负责机构或指定专人负责核材料管制工作，核材料衡算和核安保工作执行国家法律法规要求</w:t>
            </w:r>
          </w:p>
        </w:tc>
        <w:tc>
          <w:tcPr>
            <w:tcW w:w="2543" w:type="dxa"/>
            <w:tcMar>
              <w:left w:w="45" w:type="dxa"/>
              <w:right w:w="45" w:type="dxa"/>
            </w:tcMar>
            <w:vAlign w:val="center"/>
          </w:tcPr>
          <w:p w14:paraId="2A4F28AB">
            <w:pPr>
              <w:spacing w:line="360" w:lineRule="auto"/>
              <w:rPr>
                <w:rFonts w:hint="default" w:ascii="Times New Roman" w:hAnsi="Times New Roman" w:eastAsia="仿宋_GB2312" w:cs="Times New Roman"/>
                <w:bCs/>
                <w:color w:val="auto"/>
                <w:kern w:val="0"/>
                <w:szCs w:val="21"/>
              </w:rPr>
            </w:pPr>
          </w:p>
        </w:tc>
      </w:tr>
      <w:tr w14:paraId="15D6C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9C5661C">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11.2</w:t>
            </w:r>
          </w:p>
        </w:tc>
        <w:tc>
          <w:tcPr>
            <w:tcW w:w="14023" w:type="dxa"/>
            <w:gridSpan w:val="3"/>
            <w:tcMar>
              <w:left w:w="45" w:type="dxa"/>
              <w:right w:w="45" w:type="dxa"/>
            </w:tcMar>
            <w:vAlign w:val="center"/>
          </w:tcPr>
          <w:p w14:paraId="14EAFC1E">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场所设施与采购运输</w:t>
            </w:r>
          </w:p>
        </w:tc>
      </w:tr>
      <w:tr w14:paraId="209E1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C1E25DA">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11.2.1</w:t>
            </w:r>
          </w:p>
        </w:tc>
        <w:tc>
          <w:tcPr>
            <w:tcW w:w="3703" w:type="dxa"/>
            <w:tcMar>
              <w:left w:w="45" w:type="dxa"/>
              <w:right w:w="45" w:type="dxa"/>
            </w:tcMar>
            <w:vAlign w:val="center"/>
          </w:tcPr>
          <w:p w14:paraId="5B9F14C1">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辐射设施和场所应设有警示、联锁和报警装置</w:t>
            </w:r>
          </w:p>
        </w:tc>
        <w:tc>
          <w:tcPr>
            <w:tcW w:w="7777" w:type="dxa"/>
            <w:tcMar>
              <w:left w:w="45" w:type="dxa"/>
              <w:right w:w="45" w:type="dxa"/>
            </w:tcMar>
            <w:vAlign w:val="center"/>
          </w:tcPr>
          <w:p w14:paraId="00EC13FF">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（220）放射源储存库应设双人双锁，并有安全报警系统和视频监控系统。</w:t>
            </w:r>
          </w:p>
          <w:p w14:paraId="7BC7D5FB">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（221）</w:t>
            </w:r>
            <w:r>
              <w:rPr>
                <w:rFonts w:hint="default" w:ascii="Times New Roman" w:hAnsi="Times New Roman" w:eastAsia="仿宋_GB2312" w:cs="Times New Roman"/>
                <w:b/>
                <w:bCs/>
                <w:color w:val="auto"/>
                <w:kern w:val="0"/>
                <w:szCs w:val="21"/>
              </w:rPr>
              <w:t>辐照设施设备和场所应具有能正常工作的安全联锁装置和报警装置，有明显的安全警示标识、警戒线和剂量报警仪</w:t>
            </w:r>
          </w:p>
        </w:tc>
        <w:tc>
          <w:tcPr>
            <w:tcW w:w="2543" w:type="dxa"/>
            <w:tcMar>
              <w:left w:w="45" w:type="dxa"/>
              <w:right w:w="45" w:type="dxa"/>
            </w:tcMar>
            <w:vAlign w:val="center"/>
          </w:tcPr>
          <w:p w14:paraId="3C68EECD">
            <w:pPr>
              <w:spacing w:line="360" w:lineRule="auto"/>
              <w:rPr>
                <w:rFonts w:hint="default" w:ascii="Times New Roman" w:hAnsi="Times New Roman" w:eastAsia="仿宋_GB2312" w:cs="Times New Roman"/>
                <w:bCs/>
                <w:color w:val="auto"/>
                <w:kern w:val="0"/>
                <w:szCs w:val="21"/>
              </w:rPr>
            </w:pPr>
          </w:p>
        </w:tc>
      </w:tr>
      <w:tr w14:paraId="318AF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B77E24C">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11.2.2</w:t>
            </w:r>
          </w:p>
        </w:tc>
        <w:tc>
          <w:tcPr>
            <w:tcW w:w="3703" w:type="dxa"/>
            <w:tcMar>
              <w:left w:w="45" w:type="dxa"/>
              <w:right w:w="45" w:type="dxa"/>
            </w:tcMar>
            <w:vAlign w:val="center"/>
          </w:tcPr>
          <w:p w14:paraId="71317E69">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辐射实验场所每年有合格的实验场所检测报告</w:t>
            </w:r>
          </w:p>
        </w:tc>
        <w:tc>
          <w:tcPr>
            <w:tcW w:w="7777" w:type="dxa"/>
            <w:tcMar>
              <w:left w:w="45" w:type="dxa"/>
              <w:right w:w="45" w:type="dxa"/>
            </w:tcMar>
            <w:vAlign w:val="center"/>
          </w:tcPr>
          <w:p w14:paraId="12CB6547">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（222）查</w:t>
            </w:r>
            <w:r>
              <w:rPr>
                <w:rFonts w:hint="default" w:ascii="Times New Roman" w:hAnsi="Times New Roman" w:eastAsia="仿宋_GB2312" w:cs="Times New Roman"/>
                <w:color w:val="auto"/>
                <w:kern w:val="0"/>
                <w:szCs w:val="21"/>
              </w:rPr>
              <w:t>看场所辐射环境监测报告</w:t>
            </w:r>
          </w:p>
        </w:tc>
        <w:tc>
          <w:tcPr>
            <w:tcW w:w="2543" w:type="dxa"/>
            <w:tcMar>
              <w:left w:w="45" w:type="dxa"/>
              <w:right w:w="45" w:type="dxa"/>
            </w:tcMar>
            <w:vAlign w:val="center"/>
          </w:tcPr>
          <w:p w14:paraId="1FF91442">
            <w:pPr>
              <w:spacing w:line="360" w:lineRule="auto"/>
              <w:rPr>
                <w:rFonts w:hint="default" w:ascii="Times New Roman" w:hAnsi="Times New Roman" w:eastAsia="仿宋_GB2312" w:cs="Times New Roman"/>
                <w:bCs/>
                <w:color w:val="auto"/>
                <w:kern w:val="0"/>
                <w:szCs w:val="21"/>
              </w:rPr>
            </w:pPr>
          </w:p>
        </w:tc>
      </w:tr>
      <w:tr w14:paraId="1DAFC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BF42A8E">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11.2.3</w:t>
            </w:r>
          </w:p>
        </w:tc>
        <w:tc>
          <w:tcPr>
            <w:tcW w:w="3703" w:type="dxa"/>
            <w:tcMar>
              <w:left w:w="45" w:type="dxa"/>
              <w:right w:w="45" w:type="dxa"/>
            </w:tcMar>
            <w:vAlign w:val="center"/>
          </w:tcPr>
          <w:p w14:paraId="21116D65">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放射性物质的转让、转移和运输应按规定报批</w:t>
            </w:r>
          </w:p>
        </w:tc>
        <w:tc>
          <w:tcPr>
            <w:tcW w:w="7777" w:type="dxa"/>
            <w:tcMar>
              <w:left w:w="45" w:type="dxa"/>
              <w:right w:w="45" w:type="dxa"/>
            </w:tcMar>
            <w:vAlign w:val="center"/>
          </w:tcPr>
          <w:p w14:paraId="349E6D12">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（223）放射性物质转让、转移有学校及生态环境部门的审批备案材料，在野外使用放射性物质开展实验应事先取得实验所在地省级生态环境主管部门的批准。</w:t>
            </w:r>
          </w:p>
          <w:p w14:paraId="3CCB19EA">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（224）放射性物质的转移和运输有学校及公安部门的审批备案材料。</w:t>
            </w:r>
          </w:p>
          <w:p w14:paraId="56ADFFB2">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（225）放射性物质及射线装置储存和使用场所变更应重新开展环境影响评价</w:t>
            </w:r>
          </w:p>
        </w:tc>
        <w:tc>
          <w:tcPr>
            <w:tcW w:w="2543" w:type="dxa"/>
            <w:tcMar>
              <w:left w:w="45" w:type="dxa"/>
              <w:right w:w="45" w:type="dxa"/>
            </w:tcMar>
            <w:vAlign w:val="center"/>
          </w:tcPr>
          <w:p w14:paraId="6C3739C3">
            <w:pPr>
              <w:widowControl/>
              <w:spacing w:line="300" w:lineRule="exact"/>
              <w:rPr>
                <w:rFonts w:hint="default" w:ascii="Times New Roman" w:hAnsi="Times New Roman" w:eastAsia="仿宋_GB2312" w:cs="Times New Roman"/>
                <w:bCs/>
                <w:color w:val="auto"/>
                <w:kern w:val="0"/>
                <w:szCs w:val="21"/>
              </w:rPr>
            </w:pPr>
          </w:p>
        </w:tc>
      </w:tr>
      <w:tr w14:paraId="404D1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CB72281">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11.3</w:t>
            </w:r>
          </w:p>
        </w:tc>
        <w:tc>
          <w:tcPr>
            <w:tcW w:w="14023" w:type="dxa"/>
            <w:gridSpan w:val="3"/>
            <w:tcMar>
              <w:left w:w="45" w:type="dxa"/>
              <w:right w:w="45" w:type="dxa"/>
            </w:tcMar>
            <w:vAlign w:val="center"/>
          </w:tcPr>
          <w:p w14:paraId="18B3AEFE">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放射性实验安全及废物处置</w:t>
            </w:r>
          </w:p>
        </w:tc>
      </w:tr>
      <w:tr w14:paraId="404D9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796E412">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11.3.1</w:t>
            </w:r>
          </w:p>
        </w:tc>
        <w:tc>
          <w:tcPr>
            <w:tcW w:w="3703" w:type="dxa"/>
            <w:tcMar>
              <w:left w:w="45" w:type="dxa"/>
              <w:right w:w="45" w:type="dxa"/>
            </w:tcMar>
            <w:vAlign w:val="center"/>
          </w:tcPr>
          <w:p w14:paraId="22B87283">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各类放射性装置有符合国家相关规定的操作规程、安保方案及应急预案，并遵照执行</w:t>
            </w:r>
          </w:p>
        </w:tc>
        <w:tc>
          <w:tcPr>
            <w:tcW w:w="7777" w:type="dxa"/>
            <w:tcMar>
              <w:left w:w="45" w:type="dxa"/>
              <w:right w:w="45" w:type="dxa"/>
            </w:tcMar>
            <w:vAlign w:val="center"/>
          </w:tcPr>
          <w:p w14:paraId="190DDB9E">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（226）</w:t>
            </w:r>
            <w:bookmarkStart w:id="1" w:name="_Hlk67119357"/>
            <w:r>
              <w:rPr>
                <w:rFonts w:hint="default" w:ascii="Times New Roman" w:hAnsi="Times New Roman" w:eastAsia="仿宋_GB2312" w:cs="Times New Roman"/>
                <w:color w:val="auto"/>
                <w:kern w:val="0"/>
                <w:szCs w:val="21"/>
              </w:rPr>
              <w:t>重点关注γ辐照、电子加速器、射线探伤仪、非密封放射性实验操作、V类以上的放射源实验操作。</w:t>
            </w:r>
          </w:p>
          <w:p w14:paraId="43AEEF93">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（227）查看辐射事故应急预案</w:t>
            </w:r>
            <w:bookmarkEnd w:id="1"/>
            <w:r>
              <w:rPr>
                <w:rFonts w:hint="default" w:ascii="Times New Roman" w:hAnsi="Times New Roman" w:eastAsia="仿宋_GB2312" w:cs="Times New Roman"/>
                <w:color w:val="auto"/>
                <w:kern w:val="0"/>
                <w:szCs w:val="21"/>
              </w:rPr>
              <w:t>及应急演练记录（每年不少于1次演练）</w:t>
            </w:r>
          </w:p>
        </w:tc>
        <w:tc>
          <w:tcPr>
            <w:tcW w:w="2543" w:type="dxa"/>
            <w:tcMar>
              <w:left w:w="45" w:type="dxa"/>
              <w:right w:w="45" w:type="dxa"/>
            </w:tcMar>
            <w:vAlign w:val="center"/>
          </w:tcPr>
          <w:p w14:paraId="2929B691">
            <w:pPr>
              <w:widowControl/>
              <w:spacing w:line="300" w:lineRule="exact"/>
              <w:rPr>
                <w:rFonts w:hint="default" w:ascii="Times New Roman" w:hAnsi="Times New Roman" w:eastAsia="仿宋_GB2312" w:cs="Times New Roman"/>
                <w:bCs/>
                <w:color w:val="auto"/>
                <w:kern w:val="0"/>
                <w:szCs w:val="21"/>
              </w:rPr>
            </w:pPr>
          </w:p>
        </w:tc>
      </w:tr>
      <w:tr w14:paraId="26C81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C6DAA29">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11.3.2</w:t>
            </w:r>
          </w:p>
        </w:tc>
        <w:tc>
          <w:tcPr>
            <w:tcW w:w="3703" w:type="dxa"/>
            <w:tcMar>
              <w:left w:w="45" w:type="dxa"/>
              <w:right w:w="45" w:type="dxa"/>
            </w:tcMar>
            <w:vAlign w:val="center"/>
          </w:tcPr>
          <w:p w14:paraId="1625E71A">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放射源及设备报废时有符合国家相关规定的处置方案或回收协议</w:t>
            </w:r>
          </w:p>
        </w:tc>
        <w:tc>
          <w:tcPr>
            <w:tcW w:w="7777" w:type="dxa"/>
            <w:tcMar>
              <w:left w:w="45" w:type="dxa"/>
              <w:right w:w="45" w:type="dxa"/>
            </w:tcMar>
            <w:vAlign w:val="center"/>
          </w:tcPr>
          <w:p w14:paraId="471F7BD4">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（228）中、长半衰期核素固液废物有符合国家相关规定的处置方案或回收协议，短半衰期核素固液废弃物放置10个半衰期经检测达标并经审管部门的批准可以作为普通废物处理，并有处置记录。</w:t>
            </w:r>
          </w:p>
          <w:p w14:paraId="1DDE5460">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（229）报废含有放射源或可产生放射性的设备，须报学校管理部门同意，并按国家规定进行退役处置。</w:t>
            </w:r>
            <w:r>
              <w:rPr>
                <w:rFonts w:hint="default" w:ascii="Times New Roman" w:hAnsi="Times New Roman" w:eastAsia="仿宋_GB2312" w:cs="Times New Roman"/>
                <w:bCs/>
                <w:color w:val="auto"/>
                <w:kern w:val="0"/>
                <w:szCs w:val="21"/>
              </w:rPr>
              <w:t>X光管报废时应破坏高压设备，拍照留存。</w:t>
            </w:r>
          </w:p>
          <w:p w14:paraId="7557B0FA">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bCs/>
                <w:color w:val="auto"/>
                <w:kern w:val="0"/>
                <w:szCs w:val="21"/>
              </w:rPr>
              <w:t>（230）</w:t>
            </w:r>
            <w:r>
              <w:rPr>
                <w:rFonts w:hint="default" w:ascii="Times New Roman" w:hAnsi="Times New Roman" w:eastAsia="仿宋_GB2312" w:cs="Times New Roman"/>
                <w:color w:val="auto"/>
                <w:kern w:val="0"/>
                <w:szCs w:val="21"/>
              </w:rPr>
              <w:t>涉源实验场所退役，须按国家相关规定执行</w:t>
            </w:r>
          </w:p>
        </w:tc>
        <w:tc>
          <w:tcPr>
            <w:tcW w:w="2543" w:type="dxa"/>
            <w:tcMar>
              <w:left w:w="45" w:type="dxa"/>
              <w:right w:w="45" w:type="dxa"/>
            </w:tcMar>
            <w:vAlign w:val="center"/>
          </w:tcPr>
          <w:p w14:paraId="402D5950">
            <w:pPr>
              <w:widowControl/>
              <w:spacing w:line="300" w:lineRule="exact"/>
              <w:rPr>
                <w:rFonts w:hint="default" w:ascii="Times New Roman" w:hAnsi="Times New Roman" w:eastAsia="仿宋_GB2312" w:cs="Times New Roman"/>
                <w:bCs/>
                <w:color w:val="auto"/>
                <w:kern w:val="0"/>
                <w:szCs w:val="21"/>
              </w:rPr>
            </w:pPr>
          </w:p>
        </w:tc>
      </w:tr>
      <w:tr w14:paraId="3BEB2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5AE2C97">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11.3.3</w:t>
            </w:r>
          </w:p>
        </w:tc>
        <w:tc>
          <w:tcPr>
            <w:tcW w:w="3703" w:type="dxa"/>
            <w:tcMar>
              <w:left w:w="45" w:type="dxa"/>
              <w:right w:w="45" w:type="dxa"/>
            </w:tcMar>
            <w:vAlign w:val="center"/>
          </w:tcPr>
          <w:p w14:paraId="65F1999C">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放射性废物（源）应严加管理，不得作为普通废物处理，不得擅自处置</w:t>
            </w:r>
          </w:p>
        </w:tc>
        <w:tc>
          <w:tcPr>
            <w:tcW w:w="7777" w:type="dxa"/>
            <w:tcMar>
              <w:left w:w="45" w:type="dxa"/>
              <w:right w:w="45" w:type="dxa"/>
            </w:tcMar>
            <w:vAlign w:val="center"/>
          </w:tcPr>
          <w:p w14:paraId="009EE013">
            <w:pPr>
              <w:widowControl/>
              <w:spacing w:line="300" w:lineRule="exact"/>
              <w:rPr>
                <w:rFonts w:hint="default" w:ascii="Times New Roman" w:hAnsi="Times New Roman" w:eastAsia="仿宋_GB2312" w:cs="Times New Roman"/>
                <w:color w:val="auto"/>
                <w:kern w:val="0"/>
                <w:szCs w:val="21"/>
              </w:rPr>
            </w:pPr>
            <w:bookmarkStart w:id="2" w:name="_Hlk67118907"/>
            <w:r>
              <w:rPr>
                <w:rFonts w:hint="default" w:ascii="Times New Roman" w:hAnsi="Times New Roman" w:eastAsia="仿宋_GB2312" w:cs="Times New Roman"/>
                <w:color w:val="auto"/>
                <w:kern w:val="0"/>
                <w:szCs w:val="21"/>
              </w:rPr>
              <w:t>（231）相关实验室应当配置专门的放射性废物收集桶，放射性废液送贮前应进行固化整备。</w:t>
            </w:r>
          </w:p>
          <w:p w14:paraId="6A06E9AE">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（232）放射性废物应及时送交</w:t>
            </w:r>
            <w:bookmarkEnd w:id="2"/>
            <w:r>
              <w:rPr>
                <w:rFonts w:hint="default" w:ascii="Times New Roman" w:hAnsi="Times New Roman" w:eastAsia="仿宋_GB2312" w:cs="Times New Roman"/>
                <w:color w:val="auto"/>
                <w:kern w:val="0"/>
                <w:szCs w:val="21"/>
              </w:rPr>
              <w:t>有资质的放射性废物集中贮存单位贮存。</w:t>
            </w:r>
          </w:p>
          <w:p w14:paraId="263F9B92">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（233）排放气态或液态放射性流出物应严格按照环评和地方生态环境部门批准的排放量和排放方式执行</w:t>
            </w:r>
          </w:p>
        </w:tc>
        <w:tc>
          <w:tcPr>
            <w:tcW w:w="2543" w:type="dxa"/>
            <w:tcMar>
              <w:left w:w="45" w:type="dxa"/>
              <w:right w:w="45" w:type="dxa"/>
            </w:tcMar>
            <w:vAlign w:val="center"/>
          </w:tcPr>
          <w:p w14:paraId="713FE96E">
            <w:pPr>
              <w:widowControl/>
              <w:spacing w:line="300" w:lineRule="exact"/>
              <w:rPr>
                <w:rFonts w:hint="default" w:ascii="Times New Roman" w:hAnsi="Times New Roman" w:eastAsia="仿宋_GB2312" w:cs="Times New Roman"/>
                <w:bCs/>
                <w:color w:val="auto"/>
                <w:kern w:val="0"/>
                <w:szCs w:val="21"/>
              </w:rPr>
            </w:pPr>
          </w:p>
        </w:tc>
      </w:tr>
      <w:tr w14:paraId="56700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72D50F4">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12</w:t>
            </w:r>
          </w:p>
        </w:tc>
        <w:tc>
          <w:tcPr>
            <w:tcW w:w="14023" w:type="dxa"/>
            <w:gridSpan w:val="3"/>
            <w:tcMar>
              <w:left w:w="45" w:type="dxa"/>
              <w:right w:w="45" w:type="dxa"/>
            </w:tcMar>
            <w:vAlign w:val="center"/>
          </w:tcPr>
          <w:p w14:paraId="30876D12">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机电等安全</w:t>
            </w:r>
          </w:p>
        </w:tc>
      </w:tr>
      <w:tr w14:paraId="33A03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3297C05">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12.1</w:t>
            </w:r>
          </w:p>
        </w:tc>
        <w:tc>
          <w:tcPr>
            <w:tcW w:w="14023" w:type="dxa"/>
            <w:gridSpan w:val="3"/>
            <w:tcMar>
              <w:left w:w="45" w:type="dxa"/>
              <w:right w:w="45" w:type="dxa"/>
            </w:tcMar>
            <w:vAlign w:val="center"/>
          </w:tcPr>
          <w:p w14:paraId="0987A3B6">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仪器设备常规管理</w:t>
            </w:r>
          </w:p>
        </w:tc>
      </w:tr>
      <w:tr w14:paraId="40D73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3D3E4A0">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12.1.1</w:t>
            </w:r>
          </w:p>
        </w:tc>
        <w:tc>
          <w:tcPr>
            <w:tcW w:w="3703" w:type="dxa"/>
            <w:tcMar>
              <w:left w:w="45" w:type="dxa"/>
              <w:right w:w="45" w:type="dxa"/>
            </w:tcMar>
            <w:vAlign w:val="center"/>
          </w:tcPr>
          <w:p w14:paraId="12F6929D">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建立设备台账，设备上有资产标签，有明确的管理人员</w:t>
            </w:r>
          </w:p>
        </w:tc>
        <w:tc>
          <w:tcPr>
            <w:tcW w:w="7777" w:type="dxa"/>
            <w:tcMar>
              <w:left w:w="45" w:type="dxa"/>
              <w:right w:w="45" w:type="dxa"/>
            </w:tcMar>
            <w:vAlign w:val="center"/>
          </w:tcPr>
          <w:p w14:paraId="18634543">
            <w:pPr>
              <w:widowControl/>
              <w:spacing w:line="300" w:lineRule="exact"/>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color w:val="auto"/>
                <w:kern w:val="0"/>
                <w:szCs w:val="21"/>
              </w:rPr>
              <w:t>（234）查看资产标签、电子或纸质台账</w:t>
            </w:r>
          </w:p>
        </w:tc>
        <w:tc>
          <w:tcPr>
            <w:tcW w:w="2543" w:type="dxa"/>
            <w:tcMar>
              <w:left w:w="45" w:type="dxa"/>
              <w:right w:w="45" w:type="dxa"/>
            </w:tcMar>
            <w:vAlign w:val="center"/>
          </w:tcPr>
          <w:p w14:paraId="3364E5F8">
            <w:pPr>
              <w:widowControl/>
              <w:spacing w:line="300" w:lineRule="exact"/>
              <w:rPr>
                <w:rFonts w:hint="default" w:ascii="Times New Roman" w:hAnsi="Times New Roman" w:eastAsia="仿宋_GB2312" w:cs="Times New Roman"/>
                <w:b/>
                <w:bCs/>
                <w:color w:val="auto"/>
                <w:kern w:val="0"/>
                <w:szCs w:val="21"/>
              </w:rPr>
            </w:pPr>
          </w:p>
        </w:tc>
      </w:tr>
      <w:tr w14:paraId="2755F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A980C30">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12.1.2</w:t>
            </w:r>
          </w:p>
        </w:tc>
        <w:tc>
          <w:tcPr>
            <w:tcW w:w="3703" w:type="dxa"/>
            <w:tcMar>
              <w:left w:w="45" w:type="dxa"/>
              <w:right w:w="45" w:type="dxa"/>
            </w:tcMar>
            <w:vAlign w:val="center"/>
          </w:tcPr>
          <w:p w14:paraId="56185C56">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大型、特种设备的使用须符合相关规定</w:t>
            </w:r>
          </w:p>
        </w:tc>
        <w:tc>
          <w:tcPr>
            <w:tcW w:w="7777" w:type="dxa"/>
            <w:tcMar>
              <w:left w:w="45" w:type="dxa"/>
              <w:right w:w="45" w:type="dxa"/>
            </w:tcMar>
            <w:vAlign w:val="center"/>
          </w:tcPr>
          <w:p w14:paraId="7F9B3358">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（235）大型仪器设备、高功率的设备与电路容量相匹配，有设备运行维护记录，有安全操作规程或注意事项</w:t>
            </w:r>
          </w:p>
        </w:tc>
        <w:tc>
          <w:tcPr>
            <w:tcW w:w="2543" w:type="dxa"/>
            <w:tcMar>
              <w:left w:w="45" w:type="dxa"/>
              <w:right w:w="45" w:type="dxa"/>
            </w:tcMar>
            <w:vAlign w:val="center"/>
          </w:tcPr>
          <w:p w14:paraId="000DAA96">
            <w:pPr>
              <w:widowControl/>
              <w:spacing w:line="300" w:lineRule="exact"/>
              <w:rPr>
                <w:rFonts w:hint="default" w:ascii="Times New Roman" w:hAnsi="Times New Roman" w:eastAsia="仿宋_GB2312" w:cs="Times New Roman"/>
                <w:b/>
                <w:bCs/>
                <w:color w:val="auto"/>
                <w:kern w:val="0"/>
                <w:szCs w:val="21"/>
              </w:rPr>
            </w:pPr>
          </w:p>
        </w:tc>
      </w:tr>
      <w:tr w14:paraId="27BE0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8763CAA">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12.1.3</w:t>
            </w:r>
          </w:p>
        </w:tc>
        <w:tc>
          <w:tcPr>
            <w:tcW w:w="3703" w:type="dxa"/>
            <w:tcMar>
              <w:left w:w="45" w:type="dxa"/>
              <w:right w:w="45" w:type="dxa"/>
            </w:tcMar>
            <w:vAlign w:val="center"/>
          </w:tcPr>
          <w:p w14:paraId="5B0204EC">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仪器设备的接地和用电符合相关要求</w:t>
            </w:r>
          </w:p>
        </w:tc>
        <w:tc>
          <w:tcPr>
            <w:tcW w:w="7777" w:type="dxa"/>
            <w:tcMar>
              <w:left w:w="45" w:type="dxa"/>
              <w:right w:w="45" w:type="dxa"/>
            </w:tcMar>
            <w:vAlign w:val="center"/>
          </w:tcPr>
          <w:p w14:paraId="7783B04A">
            <w:pPr>
              <w:widowControl/>
              <w:spacing w:line="300" w:lineRule="exact"/>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（236）仪器设备接地系统应按规范要求，采用铜质材料，接地电阻一般不高于4Ω。</w:t>
            </w:r>
          </w:p>
          <w:p w14:paraId="120F0FEE">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（237）电脑、空调、电加热器等不随意开机过夜。</w:t>
            </w:r>
            <w:r>
              <w:rPr>
                <w:rFonts w:hint="default" w:ascii="Times New Roman" w:hAnsi="Times New Roman" w:eastAsia="仿宋_GB2312" w:cs="Times New Roman"/>
                <w:color w:val="auto"/>
                <w:kern w:val="0"/>
                <w:szCs w:val="21"/>
              </w:rPr>
              <w:t>对于不能断电的特殊仪器设备，采取必要的防护措施（如双路供电、不间断电源、监控报警等）</w:t>
            </w:r>
          </w:p>
        </w:tc>
        <w:tc>
          <w:tcPr>
            <w:tcW w:w="2543" w:type="dxa"/>
            <w:tcMar>
              <w:left w:w="45" w:type="dxa"/>
              <w:right w:w="45" w:type="dxa"/>
            </w:tcMar>
            <w:vAlign w:val="center"/>
          </w:tcPr>
          <w:p w14:paraId="66E2D97A">
            <w:pPr>
              <w:widowControl/>
              <w:spacing w:line="300" w:lineRule="exact"/>
              <w:rPr>
                <w:rFonts w:hint="default" w:ascii="Times New Roman" w:hAnsi="Times New Roman" w:eastAsia="仿宋_GB2312" w:cs="Times New Roman"/>
                <w:b/>
                <w:bCs/>
                <w:color w:val="auto"/>
                <w:kern w:val="0"/>
                <w:szCs w:val="21"/>
              </w:rPr>
            </w:pPr>
          </w:p>
        </w:tc>
      </w:tr>
      <w:tr w14:paraId="0C49A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096F0D9">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12.1.4</w:t>
            </w:r>
          </w:p>
        </w:tc>
        <w:tc>
          <w:tcPr>
            <w:tcW w:w="3703" w:type="dxa"/>
            <w:tcMar>
              <w:left w:w="45" w:type="dxa"/>
              <w:right w:w="45" w:type="dxa"/>
            </w:tcMar>
            <w:vAlign w:val="center"/>
          </w:tcPr>
          <w:p w14:paraId="79A28766">
            <w:pPr>
              <w:spacing w:line="300" w:lineRule="exact"/>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特殊设备应配备相应的安全防护措施</w:t>
            </w:r>
          </w:p>
        </w:tc>
        <w:tc>
          <w:tcPr>
            <w:tcW w:w="7777" w:type="dxa"/>
            <w:tcMar>
              <w:left w:w="45" w:type="dxa"/>
              <w:right w:w="45" w:type="dxa"/>
            </w:tcMar>
            <w:vAlign w:val="center"/>
          </w:tcPr>
          <w:p w14:paraId="6B315AB3">
            <w:pPr>
              <w:widowControl/>
              <w:spacing w:line="300" w:lineRule="exact"/>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kern w:val="0"/>
                <w:szCs w:val="21"/>
              </w:rPr>
              <w:t>（238）关注高温、高压、高速运动、电磁辐射等特殊设备，对使用者有培训要求，有安全警示标识和</w:t>
            </w:r>
            <w:r>
              <w:rPr>
                <w:rFonts w:hint="default" w:ascii="Times New Roman" w:hAnsi="Times New Roman" w:eastAsia="仿宋_GB2312" w:cs="Times New Roman"/>
                <w:color w:val="auto"/>
                <w:szCs w:val="21"/>
              </w:rPr>
              <w:t>安全警示线（黄色），设备安全防护措施完好。</w:t>
            </w:r>
          </w:p>
          <w:p w14:paraId="5F716E9A">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szCs w:val="21"/>
              </w:rPr>
              <w:t>（239）</w:t>
            </w:r>
            <w:r>
              <w:rPr>
                <w:rFonts w:hint="default" w:ascii="Times New Roman" w:hAnsi="Times New Roman" w:eastAsia="仿宋_GB2312" w:cs="Times New Roman"/>
                <w:b/>
                <w:bCs/>
                <w:color w:val="auto"/>
                <w:kern w:val="0"/>
                <w:szCs w:val="21"/>
              </w:rPr>
              <w:t>非标准设备、自制设备应经安全论证合格后方可使用，须充分考虑安全系数，并有安全防护措施</w:t>
            </w:r>
          </w:p>
        </w:tc>
        <w:tc>
          <w:tcPr>
            <w:tcW w:w="2543" w:type="dxa"/>
            <w:tcMar>
              <w:left w:w="45" w:type="dxa"/>
              <w:right w:w="45" w:type="dxa"/>
            </w:tcMar>
            <w:vAlign w:val="center"/>
          </w:tcPr>
          <w:p w14:paraId="1DACE13D">
            <w:pPr>
              <w:widowControl/>
              <w:spacing w:line="300" w:lineRule="exact"/>
              <w:rPr>
                <w:rFonts w:hint="default" w:ascii="Times New Roman" w:hAnsi="Times New Roman" w:eastAsia="仿宋_GB2312" w:cs="Times New Roman"/>
                <w:bCs/>
                <w:color w:val="auto"/>
                <w:kern w:val="0"/>
                <w:szCs w:val="21"/>
              </w:rPr>
            </w:pPr>
          </w:p>
        </w:tc>
      </w:tr>
      <w:tr w14:paraId="3E638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15BBA69">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12.2</w:t>
            </w:r>
          </w:p>
        </w:tc>
        <w:tc>
          <w:tcPr>
            <w:tcW w:w="14023" w:type="dxa"/>
            <w:gridSpan w:val="3"/>
            <w:tcMar>
              <w:left w:w="45" w:type="dxa"/>
              <w:right w:w="45" w:type="dxa"/>
            </w:tcMar>
            <w:vAlign w:val="center"/>
          </w:tcPr>
          <w:p w14:paraId="370B0FA2">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机械安全</w:t>
            </w:r>
          </w:p>
        </w:tc>
      </w:tr>
      <w:tr w14:paraId="2368A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BBB9ABC">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12.2.1</w:t>
            </w:r>
          </w:p>
        </w:tc>
        <w:tc>
          <w:tcPr>
            <w:tcW w:w="3703" w:type="dxa"/>
            <w:tcMar>
              <w:left w:w="45" w:type="dxa"/>
              <w:right w:w="45" w:type="dxa"/>
            </w:tcMar>
            <w:vAlign w:val="center"/>
          </w:tcPr>
          <w:p w14:paraId="372BDDD6">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机械设备应保持清洁整齐，可靠接地</w:t>
            </w:r>
          </w:p>
        </w:tc>
        <w:tc>
          <w:tcPr>
            <w:tcW w:w="7777" w:type="dxa"/>
            <w:tcMar>
              <w:left w:w="45" w:type="dxa"/>
              <w:right w:w="45" w:type="dxa"/>
            </w:tcMar>
            <w:vAlign w:val="center"/>
          </w:tcPr>
          <w:p w14:paraId="28EA35C8">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（240）机床应保持清洁整齐，严禁在床头、床面、刀架上放置物品。</w:t>
            </w:r>
          </w:p>
          <w:p w14:paraId="3C1E07BB">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（241）机械设备可靠接地，实验结束后，应切断电源，整理好场地并将实验用具等摆放整齐，及时清理机械设备产生的废渣、废屑</w:t>
            </w:r>
          </w:p>
        </w:tc>
        <w:tc>
          <w:tcPr>
            <w:tcW w:w="2543" w:type="dxa"/>
            <w:tcMar>
              <w:left w:w="45" w:type="dxa"/>
              <w:right w:w="45" w:type="dxa"/>
            </w:tcMar>
            <w:vAlign w:val="center"/>
          </w:tcPr>
          <w:p w14:paraId="671B751C">
            <w:pPr>
              <w:widowControl/>
              <w:spacing w:line="300" w:lineRule="exact"/>
              <w:rPr>
                <w:rFonts w:hint="default" w:ascii="Times New Roman" w:hAnsi="Times New Roman" w:eastAsia="仿宋_GB2312" w:cs="Times New Roman"/>
                <w:bCs/>
                <w:color w:val="auto"/>
                <w:kern w:val="0"/>
                <w:szCs w:val="21"/>
              </w:rPr>
            </w:pPr>
          </w:p>
        </w:tc>
      </w:tr>
      <w:tr w14:paraId="13073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1DEA540">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12.2.2</w:t>
            </w:r>
          </w:p>
        </w:tc>
        <w:tc>
          <w:tcPr>
            <w:tcW w:w="3703" w:type="dxa"/>
            <w:tcMar>
              <w:left w:w="45" w:type="dxa"/>
              <w:right w:w="45" w:type="dxa"/>
            </w:tcMar>
            <w:vAlign w:val="center"/>
          </w:tcPr>
          <w:p w14:paraId="55763D73">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操作机械设备时实验人员应做好个体防护</w:t>
            </w:r>
          </w:p>
        </w:tc>
        <w:tc>
          <w:tcPr>
            <w:tcW w:w="7777" w:type="dxa"/>
            <w:tcMar>
              <w:left w:w="45" w:type="dxa"/>
              <w:right w:w="45" w:type="dxa"/>
            </w:tcMar>
            <w:vAlign w:val="center"/>
          </w:tcPr>
          <w:p w14:paraId="34203D45">
            <w:pPr>
              <w:rPr>
                <w:rFonts w:hint="default" w:ascii="Times New Roman" w:hAnsi="Times New Roman" w:eastAsia="仿宋_GB2312" w:cs="Times New Roman"/>
                <w:color w:val="auto"/>
                <w:kern w:val="0"/>
              </w:rPr>
            </w:pPr>
            <w:r>
              <w:rPr>
                <w:rFonts w:hint="default" w:ascii="Times New Roman" w:hAnsi="Times New Roman" w:eastAsia="仿宋_GB2312" w:cs="Times New Roman"/>
                <w:color w:val="auto"/>
                <w:kern w:val="0"/>
              </w:rPr>
              <w:t>（242）个体防护用品要穿戴齐全，如工作服、工作帽、工作鞋、防护眼镜等。操作冷加工设备时必须穿“三紧式”工作服，不能留长发（长发要盘在工作帽内），禁止戴手套。</w:t>
            </w:r>
          </w:p>
          <w:p w14:paraId="53DB5E66">
            <w:pPr>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rPr>
              <w:t>（243）</w:t>
            </w:r>
            <w:r>
              <w:rPr>
                <w:rFonts w:hint="default" w:ascii="Times New Roman" w:hAnsi="Times New Roman" w:eastAsia="仿宋_GB2312" w:cs="Times New Roman"/>
                <w:color w:val="auto"/>
                <w:kern w:val="0"/>
                <w:szCs w:val="21"/>
              </w:rPr>
              <w:t>进入高速切削机械操作工作场所，应穿好工作服、工作鞋，戴好防护眼镜，扣紧衣袖口，戴好工作帽（长发学生</w:t>
            </w:r>
            <w:r>
              <w:rPr>
                <w:rFonts w:hint="default" w:ascii="Times New Roman" w:hAnsi="Times New Roman" w:eastAsia="仿宋_GB2312" w:cs="Times New Roman"/>
                <w:color w:val="auto"/>
                <w:kern w:val="0"/>
              </w:rPr>
              <w:t>必须将长发盘在工作帽内</w:t>
            </w:r>
            <w:r>
              <w:rPr>
                <w:rFonts w:hint="default" w:ascii="Times New Roman" w:hAnsi="Times New Roman" w:eastAsia="仿宋_GB2312" w:cs="Times New Roman"/>
                <w:color w:val="auto"/>
                <w:kern w:val="0"/>
                <w:szCs w:val="21"/>
              </w:rPr>
              <w:t>），禁止戴手套、长围巾、领带、手镯等配饰物，禁止穿拖鞋、高跟鞋等。设备运转时严禁用手调整工件</w:t>
            </w:r>
          </w:p>
        </w:tc>
        <w:tc>
          <w:tcPr>
            <w:tcW w:w="2543" w:type="dxa"/>
            <w:tcMar>
              <w:left w:w="45" w:type="dxa"/>
              <w:right w:w="45" w:type="dxa"/>
            </w:tcMar>
            <w:vAlign w:val="center"/>
          </w:tcPr>
          <w:p w14:paraId="21C16332">
            <w:pPr>
              <w:widowControl/>
              <w:spacing w:line="300" w:lineRule="exact"/>
              <w:rPr>
                <w:rFonts w:hint="default" w:ascii="Times New Roman" w:hAnsi="Times New Roman" w:eastAsia="仿宋_GB2312" w:cs="Times New Roman"/>
                <w:bCs/>
                <w:color w:val="auto"/>
                <w:kern w:val="0"/>
                <w:szCs w:val="21"/>
              </w:rPr>
            </w:pPr>
          </w:p>
        </w:tc>
      </w:tr>
      <w:tr w14:paraId="677A9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7CE094D">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12.2.3</w:t>
            </w:r>
          </w:p>
        </w:tc>
        <w:tc>
          <w:tcPr>
            <w:tcW w:w="3703" w:type="dxa"/>
            <w:tcMar>
              <w:left w:w="45" w:type="dxa"/>
              <w:right w:w="45" w:type="dxa"/>
            </w:tcMar>
            <w:vAlign w:val="center"/>
          </w:tcPr>
          <w:p w14:paraId="5647873E">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铸锻及热处理实验应满足场地和防护要求</w:t>
            </w:r>
          </w:p>
        </w:tc>
        <w:tc>
          <w:tcPr>
            <w:tcW w:w="7777" w:type="dxa"/>
            <w:tcMar>
              <w:left w:w="45" w:type="dxa"/>
              <w:right w:w="45" w:type="dxa"/>
            </w:tcMar>
            <w:vAlign w:val="center"/>
          </w:tcPr>
          <w:p w14:paraId="111C3F2D">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（244）铸造实验场地宽敞、通道畅通，使用设备前，操作者要按要求穿戴好防护用品。</w:t>
            </w:r>
          </w:p>
          <w:p w14:paraId="03B0592C">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（245）盐浴炉加热零件必须预先烘干，并用铁丝绑牢，缓慢放入炉中，以防盐液炸崩烫伤。</w:t>
            </w:r>
          </w:p>
          <w:p w14:paraId="1F59ACD3">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（246）淬火油槽不得有水，油量不能过少，以免发生火灾。</w:t>
            </w:r>
          </w:p>
          <w:p w14:paraId="4E47EB33">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（247）与铁水接触的一切工具，使用前必须加热，严禁将冷的工具伸入铁水内，以免引起爆炸。</w:t>
            </w:r>
          </w:p>
          <w:p w14:paraId="3816E77C">
            <w:pPr>
              <w:widowControl/>
              <w:spacing w:line="300" w:lineRule="exact"/>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color w:val="auto"/>
                <w:kern w:val="0"/>
                <w:szCs w:val="21"/>
              </w:rPr>
              <w:t>（248）锻压设备不得空打或大力敲打过薄锻件，锻造时锻件应达到850 ℃以上，锻锤空置时应垫有木块</w:t>
            </w:r>
          </w:p>
        </w:tc>
        <w:tc>
          <w:tcPr>
            <w:tcW w:w="2543" w:type="dxa"/>
            <w:tcMar>
              <w:left w:w="45" w:type="dxa"/>
              <w:right w:w="45" w:type="dxa"/>
            </w:tcMar>
            <w:vAlign w:val="center"/>
          </w:tcPr>
          <w:p w14:paraId="61BB3F5C">
            <w:pPr>
              <w:widowControl/>
              <w:spacing w:line="300" w:lineRule="exact"/>
              <w:rPr>
                <w:rFonts w:hint="default" w:ascii="Times New Roman" w:hAnsi="Times New Roman" w:eastAsia="仿宋_GB2312" w:cs="Times New Roman"/>
                <w:b/>
                <w:bCs/>
                <w:color w:val="auto"/>
                <w:kern w:val="0"/>
                <w:szCs w:val="21"/>
              </w:rPr>
            </w:pPr>
          </w:p>
        </w:tc>
      </w:tr>
      <w:tr w14:paraId="2FDE7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54949CF">
            <w:pPr>
              <w:spacing w:line="300" w:lineRule="exact"/>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kern w:val="0"/>
                <w:szCs w:val="21"/>
              </w:rPr>
              <w:t>12.2.4</w:t>
            </w:r>
          </w:p>
        </w:tc>
        <w:tc>
          <w:tcPr>
            <w:tcW w:w="3703" w:type="dxa"/>
            <w:tcMar>
              <w:left w:w="45" w:type="dxa"/>
              <w:right w:w="45" w:type="dxa"/>
            </w:tcMar>
            <w:vAlign w:val="center"/>
          </w:tcPr>
          <w:p w14:paraId="47A16D41">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高处作业应符合相关操作规程</w:t>
            </w:r>
          </w:p>
        </w:tc>
        <w:tc>
          <w:tcPr>
            <w:tcW w:w="7777" w:type="dxa"/>
            <w:tcMar>
              <w:left w:w="45" w:type="dxa"/>
              <w:right w:w="45" w:type="dxa"/>
            </w:tcMar>
            <w:vAlign w:val="center"/>
          </w:tcPr>
          <w:p w14:paraId="16E93567">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（249）在坠落高度基准面2m及以上有可能坠落的高处进行作业，须穿防滑鞋、佩戴安全帽、使用安全带。</w:t>
            </w:r>
          </w:p>
          <w:p w14:paraId="0BB25B48">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（250）临边作业须在临空一侧设置防护栏杆，有相关安全操作规程</w:t>
            </w:r>
          </w:p>
        </w:tc>
        <w:tc>
          <w:tcPr>
            <w:tcW w:w="2543" w:type="dxa"/>
            <w:tcMar>
              <w:left w:w="45" w:type="dxa"/>
              <w:right w:w="45" w:type="dxa"/>
            </w:tcMar>
            <w:vAlign w:val="center"/>
          </w:tcPr>
          <w:p w14:paraId="546488BC">
            <w:pPr>
              <w:widowControl/>
              <w:spacing w:line="300" w:lineRule="exact"/>
              <w:rPr>
                <w:rFonts w:hint="default" w:ascii="Times New Roman" w:hAnsi="Times New Roman" w:eastAsia="仿宋_GB2312" w:cs="Times New Roman"/>
                <w:bCs/>
                <w:color w:val="auto"/>
                <w:kern w:val="0"/>
                <w:szCs w:val="21"/>
              </w:rPr>
            </w:pPr>
          </w:p>
        </w:tc>
      </w:tr>
      <w:tr w14:paraId="37948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52B0FC2">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12.3</w:t>
            </w:r>
          </w:p>
        </w:tc>
        <w:tc>
          <w:tcPr>
            <w:tcW w:w="14023" w:type="dxa"/>
            <w:gridSpan w:val="3"/>
            <w:tcMar>
              <w:left w:w="45" w:type="dxa"/>
              <w:right w:w="45" w:type="dxa"/>
            </w:tcMar>
            <w:vAlign w:val="center"/>
          </w:tcPr>
          <w:p w14:paraId="60084038">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电气安全</w:t>
            </w:r>
          </w:p>
        </w:tc>
      </w:tr>
      <w:tr w14:paraId="4A8E9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90F87D8">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12.3.1</w:t>
            </w:r>
          </w:p>
        </w:tc>
        <w:tc>
          <w:tcPr>
            <w:tcW w:w="3703" w:type="dxa"/>
            <w:tcMar>
              <w:left w:w="45" w:type="dxa"/>
              <w:right w:w="45" w:type="dxa"/>
            </w:tcMar>
            <w:vAlign w:val="center"/>
          </w:tcPr>
          <w:p w14:paraId="43DB5C09">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电气设备的使用应符合用电安全规范</w:t>
            </w:r>
          </w:p>
        </w:tc>
        <w:tc>
          <w:tcPr>
            <w:tcW w:w="7777" w:type="dxa"/>
            <w:tcMar>
              <w:left w:w="45" w:type="dxa"/>
              <w:right w:w="45" w:type="dxa"/>
            </w:tcMar>
            <w:vAlign w:val="center"/>
          </w:tcPr>
          <w:p w14:paraId="516694B1">
            <w:pPr>
              <w:widowControl/>
              <w:tabs>
                <w:tab w:val="left" w:pos="4321"/>
              </w:tabs>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（251）各种电气设备及电线应始终保持干燥，防止浸湿，以防短路引起火灾或烧坏电气设备。</w:t>
            </w:r>
          </w:p>
          <w:p w14:paraId="676338D1">
            <w:pPr>
              <w:widowControl/>
              <w:tabs>
                <w:tab w:val="left" w:pos="4321"/>
              </w:tabs>
              <w:spacing w:line="300" w:lineRule="exact"/>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kern w:val="0"/>
                <w:szCs w:val="21"/>
              </w:rPr>
              <w:t>（252）</w:t>
            </w:r>
            <w:r>
              <w:rPr>
                <w:rFonts w:hint="default" w:ascii="Times New Roman" w:hAnsi="Times New Roman" w:eastAsia="仿宋_GB2312" w:cs="Times New Roman"/>
                <w:color w:val="auto"/>
                <w:szCs w:val="21"/>
              </w:rPr>
              <w:t>实验室内的功能间墙面都应设有专用接地母排，并设有多点接地引出端。</w:t>
            </w:r>
          </w:p>
          <w:p w14:paraId="6487A70E">
            <w:pPr>
              <w:widowControl/>
              <w:tabs>
                <w:tab w:val="left" w:pos="4321"/>
              </w:tabs>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（253）高压、大电流等强电实验室</w:t>
            </w:r>
            <w:r>
              <w:rPr>
                <w:rFonts w:hint="default" w:ascii="Times New Roman" w:hAnsi="Times New Roman" w:eastAsia="仿宋_GB2312" w:cs="Times New Roman"/>
                <w:color w:val="auto"/>
                <w:kern w:val="0"/>
                <w:szCs w:val="21"/>
              </w:rPr>
              <w:t>要设定安全距离，按规定设置安全警示牌，安全信号灯，联动式警铃、门锁，有安全隔离装置或屏蔽遮栏（由金属制成，并可靠接地，</w:t>
            </w:r>
            <w:r>
              <w:rPr>
                <w:rFonts w:hint="default" w:ascii="Times New Roman" w:hAnsi="Times New Roman" w:eastAsia="仿宋_GB2312" w:cs="Times New Roman"/>
                <w:color w:val="auto"/>
                <w:szCs w:val="21"/>
              </w:rPr>
              <w:t>高度不低于2m</w:t>
            </w:r>
            <w:r>
              <w:rPr>
                <w:rFonts w:hint="default" w:ascii="Times New Roman" w:hAnsi="Times New Roman" w:eastAsia="仿宋_GB2312" w:cs="Times New Roman"/>
                <w:color w:val="auto"/>
                <w:kern w:val="0"/>
                <w:szCs w:val="21"/>
              </w:rPr>
              <w:t>）。</w:t>
            </w:r>
          </w:p>
          <w:p w14:paraId="4320AAF6">
            <w:pPr>
              <w:widowControl/>
              <w:tabs>
                <w:tab w:val="left" w:pos="4321"/>
              </w:tabs>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（254）控制室（控制台）应铺橡胶、绝缘垫等。</w:t>
            </w:r>
          </w:p>
          <w:p w14:paraId="574B8844">
            <w:pPr>
              <w:widowControl/>
              <w:tabs>
                <w:tab w:val="left" w:pos="4321"/>
              </w:tabs>
              <w:spacing w:line="300" w:lineRule="exact"/>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kern w:val="0"/>
                <w:szCs w:val="21"/>
              </w:rPr>
              <w:t>（255）</w:t>
            </w:r>
            <w:r>
              <w:rPr>
                <w:rFonts w:hint="default" w:ascii="Times New Roman" w:hAnsi="Times New Roman" w:eastAsia="仿宋_GB2312" w:cs="Times New Roman"/>
                <w:color w:val="auto"/>
                <w:szCs w:val="21"/>
              </w:rPr>
              <w:t>强电实验室禁止存放易燃、易爆、易腐品，保持通风散热。</w:t>
            </w:r>
          </w:p>
          <w:p w14:paraId="07B77DEF">
            <w:pPr>
              <w:widowControl/>
              <w:tabs>
                <w:tab w:val="left" w:pos="4321"/>
              </w:tabs>
              <w:spacing w:line="300" w:lineRule="exact"/>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（256）应为设备配备残余电流泄放专用的接地系统。</w:t>
            </w:r>
          </w:p>
          <w:p w14:paraId="2566FC83">
            <w:pPr>
              <w:widowControl/>
              <w:tabs>
                <w:tab w:val="left" w:pos="4321"/>
              </w:tabs>
              <w:spacing w:line="300" w:lineRule="exact"/>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（257）禁止在有可燃气体泄露隐患的环境中使用电动工具；电烙铁有专门的搁架，用毕立即切断电源。</w:t>
            </w:r>
          </w:p>
          <w:p w14:paraId="7AF1FA63">
            <w:pPr>
              <w:widowControl/>
              <w:tabs>
                <w:tab w:val="left" w:pos="4321"/>
              </w:tabs>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（258）强磁设备应配备与大地相连的金属屏蔽网</w:t>
            </w:r>
          </w:p>
        </w:tc>
        <w:tc>
          <w:tcPr>
            <w:tcW w:w="2543" w:type="dxa"/>
            <w:tcMar>
              <w:left w:w="45" w:type="dxa"/>
              <w:right w:w="45" w:type="dxa"/>
            </w:tcMar>
            <w:vAlign w:val="center"/>
          </w:tcPr>
          <w:p w14:paraId="301FAF23">
            <w:pPr>
              <w:widowControl/>
              <w:spacing w:line="300" w:lineRule="exact"/>
              <w:rPr>
                <w:rFonts w:hint="default" w:ascii="Times New Roman" w:hAnsi="Times New Roman" w:eastAsia="仿宋_GB2312" w:cs="Times New Roman"/>
                <w:b/>
                <w:bCs/>
                <w:color w:val="auto"/>
                <w:kern w:val="0"/>
                <w:szCs w:val="21"/>
              </w:rPr>
            </w:pPr>
          </w:p>
        </w:tc>
      </w:tr>
      <w:tr w14:paraId="706E3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C80CD77">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12.3.2</w:t>
            </w:r>
          </w:p>
        </w:tc>
        <w:tc>
          <w:tcPr>
            <w:tcW w:w="3703" w:type="dxa"/>
            <w:tcMar>
              <w:left w:w="45" w:type="dxa"/>
              <w:right w:w="45" w:type="dxa"/>
            </w:tcMar>
            <w:vAlign w:val="center"/>
          </w:tcPr>
          <w:p w14:paraId="54573F4C">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操作电气设备应配备合适的防护器具</w:t>
            </w:r>
          </w:p>
        </w:tc>
        <w:tc>
          <w:tcPr>
            <w:tcW w:w="7777" w:type="dxa"/>
            <w:tcMar>
              <w:left w:w="45" w:type="dxa"/>
              <w:right w:w="45" w:type="dxa"/>
            </w:tcMar>
            <w:vAlign w:val="center"/>
          </w:tcPr>
          <w:p w14:paraId="3224241F">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（259）强电类高电压实验必须两人（含）以上，操作时应戴绝缘手套；防护器具按规定进行周期试验或定期更换；</w:t>
            </w:r>
            <w:r>
              <w:rPr>
                <w:rFonts w:hint="default" w:ascii="Times New Roman" w:hAnsi="Times New Roman" w:eastAsia="仿宋_GB2312" w:cs="Times New Roman"/>
                <w:color w:val="auto"/>
                <w:szCs w:val="21"/>
              </w:rPr>
              <w:t>静电场所要保持空气湿润，工作人员要穿戴防静电服、手套和鞋靴</w:t>
            </w:r>
          </w:p>
        </w:tc>
        <w:tc>
          <w:tcPr>
            <w:tcW w:w="2543" w:type="dxa"/>
            <w:tcMar>
              <w:left w:w="45" w:type="dxa"/>
              <w:right w:w="45" w:type="dxa"/>
            </w:tcMar>
            <w:vAlign w:val="center"/>
          </w:tcPr>
          <w:p w14:paraId="2F8A871D">
            <w:pPr>
              <w:widowControl/>
              <w:spacing w:line="300" w:lineRule="exact"/>
              <w:rPr>
                <w:rFonts w:hint="default" w:ascii="Times New Roman" w:hAnsi="Times New Roman" w:eastAsia="仿宋_GB2312" w:cs="Times New Roman"/>
                <w:b/>
                <w:bCs/>
                <w:color w:val="auto"/>
                <w:kern w:val="0"/>
                <w:szCs w:val="21"/>
              </w:rPr>
            </w:pPr>
          </w:p>
        </w:tc>
      </w:tr>
      <w:tr w14:paraId="6D622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EA00FC8">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12.4</w:t>
            </w:r>
          </w:p>
        </w:tc>
        <w:tc>
          <w:tcPr>
            <w:tcW w:w="14023" w:type="dxa"/>
            <w:gridSpan w:val="3"/>
            <w:tcMar>
              <w:left w:w="45" w:type="dxa"/>
              <w:right w:w="45" w:type="dxa"/>
            </w:tcMar>
            <w:vAlign w:val="center"/>
          </w:tcPr>
          <w:p w14:paraId="6D8A4ABD">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激光安全</w:t>
            </w:r>
          </w:p>
        </w:tc>
      </w:tr>
      <w:tr w14:paraId="30BED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8B5D4EF">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12.4.1</w:t>
            </w:r>
          </w:p>
        </w:tc>
        <w:tc>
          <w:tcPr>
            <w:tcW w:w="3703" w:type="dxa"/>
            <w:tcMar>
              <w:left w:w="45" w:type="dxa"/>
              <w:right w:w="45" w:type="dxa"/>
            </w:tcMar>
            <w:vAlign w:val="center"/>
          </w:tcPr>
          <w:p w14:paraId="22B6BD5A">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bCs/>
                <w:color w:val="auto"/>
                <w:kern w:val="0"/>
                <w:szCs w:val="21"/>
              </w:rPr>
              <w:t>激光实验室配有完备的安全屏蔽设施</w:t>
            </w:r>
          </w:p>
        </w:tc>
        <w:tc>
          <w:tcPr>
            <w:tcW w:w="7777" w:type="dxa"/>
            <w:tcMar>
              <w:left w:w="45" w:type="dxa"/>
              <w:right w:w="45" w:type="dxa"/>
            </w:tcMar>
            <w:vAlign w:val="center"/>
          </w:tcPr>
          <w:p w14:paraId="578AE815">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（260）功率较大的激光器有互锁装置、防护罩，激光照射方向不会对他人造成伤害，防止激光发射口及反射镜上扬</w:t>
            </w:r>
          </w:p>
        </w:tc>
        <w:tc>
          <w:tcPr>
            <w:tcW w:w="2543" w:type="dxa"/>
            <w:tcMar>
              <w:left w:w="45" w:type="dxa"/>
              <w:right w:w="45" w:type="dxa"/>
            </w:tcMar>
            <w:vAlign w:val="center"/>
          </w:tcPr>
          <w:p w14:paraId="06F644ED">
            <w:pPr>
              <w:widowControl/>
              <w:spacing w:line="300" w:lineRule="exact"/>
              <w:rPr>
                <w:rFonts w:hint="default" w:ascii="Times New Roman" w:hAnsi="Times New Roman" w:eastAsia="仿宋_GB2312" w:cs="Times New Roman"/>
                <w:b/>
                <w:bCs/>
                <w:color w:val="auto"/>
                <w:kern w:val="0"/>
                <w:szCs w:val="21"/>
              </w:rPr>
            </w:pPr>
          </w:p>
        </w:tc>
      </w:tr>
      <w:tr w14:paraId="5C8AD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52431D0">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12.4.2</w:t>
            </w:r>
          </w:p>
        </w:tc>
        <w:tc>
          <w:tcPr>
            <w:tcW w:w="3703" w:type="dxa"/>
            <w:tcMar>
              <w:left w:w="45" w:type="dxa"/>
              <w:right w:w="45" w:type="dxa"/>
            </w:tcMar>
            <w:vAlign w:val="center"/>
          </w:tcPr>
          <w:p w14:paraId="7897BA0C">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进行激光实验时须佩戴合适的个体防护用具</w:t>
            </w:r>
          </w:p>
        </w:tc>
        <w:tc>
          <w:tcPr>
            <w:tcW w:w="7777" w:type="dxa"/>
            <w:tcMar>
              <w:left w:w="45" w:type="dxa"/>
              <w:right w:w="45" w:type="dxa"/>
            </w:tcMar>
            <w:vAlign w:val="center"/>
          </w:tcPr>
          <w:p w14:paraId="6FC9551E">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（261）操作人员佩戴防护眼镜等防护用品、不戴手表等能反光的物品，</w:t>
            </w:r>
            <w:r>
              <w:rPr>
                <w:rFonts w:hint="default" w:ascii="Times New Roman" w:hAnsi="Times New Roman" w:eastAsia="仿宋_GB2312" w:cs="Times New Roman"/>
                <w:color w:val="auto"/>
                <w:szCs w:val="21"/>
                <w:shd w:val="clear" w:color="auto" w:fill="FFFFFF"/>
              </w:rPr>
              <w:t>禁止直视激光束和它的反向光束，禁止对激光器件做任何目视准直操作，</w:t>
            </w:r>
            <w:r>
              <w:rPr>
                <w:rFonts w:hint="default" w:ascii="Times New Roman" w:hAnsi="Times New Roman" w:eastAsia="仿宋_GB2312" w:cs="Times New Roman"/>
                <w:bCs/>
                <w:color w:val="auto"/>
                <w:kern w:val="0"/>
                <w:szCs w:val="21"/>
              </w:rPr>
              <w:t>禁止用眼睛检查激光器故障，检查激光器必须在断电情况下进行</w:t>
            </w:r>
          </w:p>
        </w:tc>
        <w:tc>
          <w:tcPr>
            <w:tcW w:w="2543" w:type="dxa"/>
            <w:tcMar>
              <w:left w:w="45" w:type="dxa"/>
              <w:right w:w="45" w:type="dxa"/>
            </w:tcMar>
            <w:vAlign w:val="center"/>
          </w:tcPr>
          <w:p w14:paraId="19D35C5B">
            <w:pPr>
              <w:widowControl/>
              <w:spacing w:line="300" w:lineRule="exact"/>
              <w:rPr>
                <w:rFonts w:hint="default" w:ascii="Times New Roman" w:hAnsi="Times New Roman" w:eastAsia="仿宋_GB2312" w:cs="Times New Roman"/>
                <w:b/>
                <w:bCs/>
                <w:color w:val="auto"/>
                <w:kern w:val="0"/>
                <w:szCs w:val="21"/>
              </w:rPr>
            </w:pPr>
          </w:p>
        </w:tc>
      </w:tr>
      <w:tr w14:paraId="53674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66664A0">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12.4.3</w:t>
            </w:r>
          </w:p>
        </w:tc>
        <w:tc>
          <w:tcPr>
            <w:tcW w:w="3703" w:type="dxa"/>
            <w:tcMar>
              <w:left w:w="45" w:type="dxa"/>
              <w:right w:w="45" w:type="dxa"/>
            </w:tcMar>
            <w:vAlign w:val="center"/>
          </w:tcPr>
          <w:p w14:paraId="312F2BDD">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警告标识</w:t>
            </w:r>
          </w:p>
        </w:tc>
        <w:tc>
          <w:tcPr>
            <w:tcW w:w="7777" w:type="dxa"/>
            <w:tcMar>
              <w:left w:w="45" w:type="dxa"/>
              <w:right w:w="45" w:type="dxa"/>
            </w:tcMar>
            <w:vAlign w:val="center"/>
          </w:tcPr>
          <w:p w14:paraId="79B279AD">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（262）所有激光区域内张贴警告标识</w:t>
            </w:r>
          </w:p>
        </w:tc>
        <w:tc>
          <w:tcPr>
            <w:tcW w:w="2543" w:type="dxa"/>
            <w:tcMar>
              <w:left w:w="45" w:type="dxa"/>
              <w:right w:w="45" w:type="dxa"/>
            </w:tcMar>
            <w:vAlign w:val="center"/>
          </w:tcPr>
          <w:p w14:paraId="4EF2CB1F">
            <w:pPr>
              <w:widowControl/>
              <w:spacing w:line="300" w:lineRule="exact"/>
              <w:rPr>
                <w:rFonts w:hint="default" w:ascii="Times New Roman" w:hAnsi="Times New Roman" w:eastAsia="仿宋_GB2312" w:cs="Times New Roman"/>
                <w:b/>
                <w:bCs/>
                <w:color w:val="auto"/>
                <w:kern w:val="0"/>
                <w:szCs w:val="21"/>
              </w:rPr>
            </w:pPr>
          </w:p>
        </w:tc>
      </w:tr>
      <w:tr w14:paraId="64BCF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BF6EF69">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12.5</w:t>
            </w:r>
          </w:p>
        </w:tc>
        <w:tc>
          <w:tcPr>
            <w:tcW w:w="14023" w:type="dxa"/>
            <w:gridSpan w:val="3"/>
            <w:tcMar>
              <w:left w:w="45" w:type="dxa"/>
              <w:right w:w="45" w:type="dxa"/>
            </w:tcMar>
            <w:vAlign w:val="center"/>
          </w:tcPr>
          <w:p w14:paraId="0B4B59B4">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粉尘安全</w:t>
            </w:r>
          </w:p>
        </w:tc>
      </w:tr>
      <w:tr w14:paraId="1607C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073A50A">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12.5.1</w:t>
            </w:r>
          </w:p>
        </w:tc>
        <w:tc>
          <w:tcPr>
            <w:tcW w:w="3703" w:type="dxa"/>
            <w:tcMar>
              <w:left w:w="45" w:type="dxa"/>
              <w:right w:w="45" w:type="dxa"/>
            </w:tcMar>
            <w:vAlign w:val="center"/>
          </w:tcPr>
          <w:p w14:paraId="2F8F3F29">
            <w:pPr>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rPr>
              <w:t>粉尘爆炸危险场所，</w:t>
            </w:r>
            <w:r>
              <w:rPr>
                <w:rFonts w:hint="default" w:ascii="Times New Roman" w:hAnsi="Times New Roman" w:eastAsia="仿宋_GB2312" w:cs="Times New Roman"/>
                <w:color w:val="auto"/>
                <w:kern w:val="0"/>
                <w:szCs w:val="21"/>
              </w:rPr>
              <w:t>应选用防爆型电气设备</w:t>
            </w:r>
          </w:p>
        </w:tc>
        <w:tc>
          <w:tcPr>
            <w:tcW w:w="7777" w:type="dxa"/>
            <w:tcMar>
              <w:left w:w="45" w:type="dxa"/>
              <w:right w:w="45" w:type="dxa"/>
            </w:tcMar>
            <w:vAlign w:val="center"/>
          </w:tcPr>
          <w:p w14:paraId="2576C929">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（263）防爆灯、防爆电气开关的导线敷设应选用镀锌管，必须达到整体防爆要求。</w:t>
            </w:r>
          </w:p>
          <w:p w14:paraId="590FE563">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（264）粉尘加工要有除尘装置，除尘器符合防静电安全要求，除尘设施应有阻爆、隔爆、泄爆装置，使用工具具有防爆功能或不产生火花</w:t>
            </w:r>
          </w:p>
        </w:tc>
        <w:tc>
          <w:tcPr>
            <w:tcW w:w="2543" w:type="dxa"/>
            <w:tcMar>
              <w:left w:w="45" w:type="dxa"/>
              <w:right w:w="45" w:type="dxa"/>
            </w:tcMar>
            <w:vAlign w:val="center"/>
          </w:tcPr>
          <w:p w14:paraId="51DFE958">
            <w:pPr>
              <w:pStyle w:val="55"/>
              <w:spacing w:line="360" w:lineRule="auto"/>
              <w:ind w:firstLine="0" w:firstLineChars="0"/>
              <w:rPr>
                <w:rFonts w:hint="default" w:ascii="Times New Roman" w:hAnsi="Times New Roman" w:eastAsia="仿宋_GB2312" w:cs="Times New Roman"/>
                <w:b/>
                <w:bCs/>
                <w:color w:val="auto"/>
                <w:kern w:val="0"/>
              </w:rPr>
            </w:pPr>
          </w:p>
        </w:tc>
      </w:tr>
      <w:tr w14:paraId="539AE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2A14C27">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12.5.2</w:t>
            </w:r>
          </w:p>
        </w:tc>
        <w:tc>
          <w:tcPr>
            <w:tcW w:w="3703" w:type="dxa"/>
            <w:tcMar>
              <w:left w:w="45" w:type="dxa"/>
              <w:right w:w="45" w:type="dxa"/>
            </w:tcMar>
            <w:vAlign w:val="center"/>
          </w:tcPr>
          <w:p w14:paraId="40F346BD">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进入产生粉尘的实验场所，须穿戴合适的个体防护用具</w:t>
            </w:r>
          </w:p>
        </w:tc>
        <w:tc>
          <w:tcPr>
            <w:tcW w:w="7777" w:type="dxa"/>
            <w:tcMar>
              <w:left w:w="45" w:type="dxa"/>
              <w:right w:w="45" w:type="dxa"/>
            </w:tcMar>
            <w:vAlign w:val="center"/>
          </w:tcPr>
          <w:p w14:paraId="4FEDA0F1">
            <w:pPr>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rPr>
              <w:t>（265）</w:t>
            </w:r>
            <w:r>
              <w:rPr>
                <w:rFonts w:hint="default" w:ascii="Times New Roman" w:hAnsi="Times New Roman" w:eastAsia="仿宋_GB2312" w:cs="Times New Roman"/>
                <w:b/>
                <w:bCs/>
                <w:color w:val="auto"/>
                <w:kern w:val="0"/>
              </w:rPr>
              <w:t>进入粉尘爆炸危险场所</w:t>
            </w:r>
            <w:r>
              <w:rPr>
                <w:rFonts w:hint="default" w:ascii="Times New Roman" w:hAnsi="Times New Roman" w:eastAsia="仿宋_GB2312" w:cs="Times New Roman"/>
                <w:b/>
                <w:bCs/>
                <w:color w:val="auto"/>
                <w:kern w:val="0"/>
                <w:szCs w:val="21"/>
              </w:rPr>
              <w:t>应穿防静电服装，禁止穿化纤材料制作的衣服，工作时必须佩戴防尘口罩和护耳器</w:t>
            </w:r>
          </w:p>
        </w:tc>
        <w:tc>
          <w:tcPr>
            <w:tcW w:w="2543" w:type="dxa"/>
            <w:tcMar>
              <w:left w:w="45" w:type="dxa"/>
              <w:right w:w="45" w:type="dxa"/>
            </w:tcMar>
            <w:vAlign w:val="center"/>
          </w:tcPr>
          <w:p w14:paraId="6A44270C">
            <w:pPr>
              <w:widowControl/>
              <w:spacing w:line="300" w:lineRule="exact"/>
              <w:rPr>
                <w:rFonts w:hint="default" w:ascii="Times New Roman" w:hAnsi="Times New Roman" w:eastAsia="仿宋_GB2312" w:cs="Times New Roman"/>
                <w:b/>
                <w:bCs/>
                <w:color w:val="auto"/>
                <w:kern w:val="0"/>
                <w:szCs w:val="21"/>
              </w:rPr>
            </w:pPr>
          </w:p>
        </w:tc>
      </w:tr>
      <w:tr w14:paraId="20A5D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9A83189">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12.5.3</w:t>
            </w:r>
          </w:p>
        </w:tc>
        <w:tc>
          <w:tcPr>
            <w:tcW w:w="3703" w:type="dxa"/>
            <w:tcMar>
              <w:left w:w="45" w:type="dxa"/>
              <w:right w:w="45" w:type="dxa"/>
            </w:tcMar>
            <w:vAlign w:val="center"/>
          </w:tcPr>
          <w:p w14:paraId="44814AEE">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确保实验室粉尘浓度在爆炸限以下，并配备灭火装置</w:t>
            </w:r>
          </w:p>
        </w:tc>
        <w:tc>
          <w:tcPr>
            <w:tcW w:w="7777" w:type="dxa"/>
            <w:tcMar>
              <w:left w:w="45" w:type="dxa"/>
              <w:right w:w="45" w:type="dxa"/>
            </w:tcMar>
            <w:vAlign w:val="center"/>
          </w:tcPr>
          <w:p w14:paraId="2F247789">
            <w:pPr>
              <w:widowControl/>
              <w:spacing w:line="300" w:lineRule="exact"/>
              <w:rPr>
                <w:rFonts w:hint="default" w:ascii="Times New Roman" w:hAnsi="Times New Roman" w:eastAsia="仿宋_GB2312" w:cs="Times New Roman"/>
                <w:bCs/>
                <w:color w:val="auto"/>
                <w:kern w:val="0"/>
                <w:szCs w:val="21"/>
                <w:highlight w:val="yellow"/>
              </w:rPr>
            </w:pPr>
            <w:r>
              <w:rPr>
                <w:rFonts w:hint="default" w:ascii="Times New Roman" w:hAnsi="Times New Roman" w:eastAsia="仿宋_GB2312" w:cs="Times New Roman"/>
                <w:color w:val="auto"/>
                <w:kern w:val="0"/>
                <w:szCs w:val="21"/>
              </w:rPr>
              <w:t>（266）粉尘浓度较高的场所，应配备必要的加湿装置、静电消除装置以及合适的灭火装置等</w:t>
            </w:r>
          </w:p>
        </w:tc>
        <w:tc>
          <w:tcPr>
            <w:tcW w:w="2543" w:type="dxa"/>
            <w:tcMar>
              <w:left w:w="45" w:type="dxa"/>
              <w:right w:w="45" w:type="dxa"/>
            </w:tcMar>
            <w:vAlign w:val="center"/>
          </w:tcPr>
          <w:p w14:paraId="250A8BE7">
            <w:pPr>
              <w:rPr>
                <w:rFonts w:hint="default" w:ascii="Times New Roman" w:hAnsi="Times New Roman" w:eastAsia="仿宋_GB2312" w:cs="Times New Roman"/>
                <w:bCs/>
                <w:color w:val="auto"/>
                <w:kern w:val="0"/>
                <w:szCs w:val="21"/>
              </w:rPr>
            </w:pPr>
          </w:p>
        </w:tc>
      </w:tr>
      <w:tr w14:paraId="5E655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5D671BE">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13</w:t>
            </w:r>
          </w:p>
        </w:tc>
        <w:tc>
          <w:tcPr>
            <w:tcW w:w="14023" w:type="dxa"/>
            <w:gridSpan w:val="3"/>
            <w:tcMar>
              <w:left w:w="45" w:type="dxa"/>
              <w:right w:w="45" w:type="dxa"/>
            </w:tcMar>
            <w:vAlign w:val="center"/>
          </w:tcPr>
          <w:p w14:paraId="5ED64D6E">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特种设备与常规冷热设备</w:t>
            </w:r>
          </w:p>
        </w:tc>
      </w:tr>
      <w:tr w14:paraId="117B8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025394A">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13.1</w:t>
            </w:r>
          </w:p>
        </w:tc>
        <w:tc>
          <w:tcPr>
            <w:tcW w:w="14023" w:type="dxa"/>
            <w:gridSpan w:val="3"/>
            <w:tcMar>
              <w:left w:w="45" w:type="dxa"/>
              <w:right w:w="45" w:type="dxa"/>
            </w:tcMar>
            <w:vAlign w:val="center"/>
          </w:tcPr>
          <w:p w14:paraId="5F13B109">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起重类设备</w:t>
            </w:r>
          </w:p>
        </w:tc>
      </w:tr>
      <w:tr w14:paraId="1A8B6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B30755C">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13.1.1</w:t>
            </w:r>
          </w:p>
        </w:tc>
        <w:tc>
          <w:tcPr>
            <w:tcW w:w="3703" w:type="dxa"/>
            <w:tcMar>
              <w:left w:w="45" w:type="dxa"/>
              <w:right w:w="45" w:type="dxa"/>
            </w:tcMar>
            <w:vAlign w:val="center"/>
          </w:tcPr>
          <w:p w14:paraId="1D13229D">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达到《特种设备目录》中起重机械指标的起重设备须取得特种设备使用登记证</w:t>
            </w:r>
          </w:p>
        </w:tc>
        <w:tc>
          <w:tcPr>
            <w:tcW w:w="7777" w:type="dxa"/>
            <w:tcMar>
              <w:left w:w="45" w:type="dxa"/>
              <w:right w:w="45" w:type="dxa"/>
            </w:tcMar>
            <w:vAlign w:val="center"/>
          </w:tcPr>
          <w:p w14:paraId="0223B2DC">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267）额定起重量大于或者等于0.5t的升降机；额定起重量大于或者等于3t（或额定起重力矩大于或者等于40t·m的塔式起重机，或生产率大于或者等于300t/h的装卸桥），且提升高度大于或者等于2m的起重机；层数大于或者等于2层的机械式停车设备，须取得特种设备使用登记证。</w:t>
            </w:r>
          </w:p>
        </w:tc>
        <w:tc>
          <w:tcPr>
            <w:tcW w:w="2543" w:type="dxa"/>
            <w:tcMar>
              <w:left w:w="45" w:type="dxa"/>
              <w:right w:w="45" w:type="dxa"/>
            </w:tcMar>
            <w:vAlign w:val="center"/>
          </w:tcPr>
          <w:p w14:paraId="2E9162E3">
            <w:pPr>
              <w:widowControl/>
              <w:spacing w:line="300" w:lineRule="exact"/>
              <w:rPr>
                <w:rFonts w:hint="default" w:ascii="Times New Roman" w:hAnsi="Times New Roman" w:eastAsia="仿宋_GB2312" w:cs="Times New Roman"/>
                <w:b/>
                <w:bCs/>
                <w:color w:val="auto"/>
                <w:kern w:val="0"/>
                <w:szCs w:val="21"/>
              </w:rPr>
            </w:pPr>
          </w:p>
        </w:tc>
      </w:tr>
      <w:tr w14:paraId="2B308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0997348">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13.1.2</w:t>
            </w:r>
          </w:p>
        </w:tc>
        <w:tc>
          <w:tcPr>
            <w:tcW w:w="3703" w:type="dxa"/>
            <w:tcMar>
              <w:left w:w="45" w:type="dxa"/>
              <w:right w:w="45" w:type="dxa"/>
            </w:tcMar>
            <w:vAlign w:val="center"/>
          </w:tcPr>
          <w:p w14:paraId="49E87363">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起重机械作业人员、检验单位须有相关资质</w:t>
            </w:r>
          </w:p>
        </w:tc>
        <w:tc>
          <w:tcPr>
            <w:tcW w:w="7777" w:type="dxa"/>
            <w:tcMar>
              <w:left w:w="45" w:type="dxa"/>
              <w:right w:w="45" w:type="dxa"/>
            </w:tcMar>
            <w:vAlign w:val="center"/>
          </w:tcPr>
          <w:p w14:paraId="759F7BE5">
            <w:pPr>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（268）起重机指挥、起重机司机须取得相应的特种设备安全管理和作业人员证，持证上岗，并每4年复审一次。</w:t>
            </w:r>
          </w:p>
          <w:p w14:paraId="026105B8">
            <w:pPr>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（269）委托有资质的单位进行定期检验，并将《特种设备使用标志》置于特种设备的显著位置</w:t>
            </w:r>
          </w:p>
        </w:tc>
        <w:tc>
          <w:tcPr>
            <w:tcW w:w="2543" w:type="dxa"/>
            <w:tcMar>
              <w:left w:w="45" w:type="dxa"/>
              <w:right w:w="45" w:type="dxa"/>
            </w:tcMar>
            <w:vAlign w:val="center"/>
          </w:tcPr>
          <w:p w14:paraId="5F250B54">
            <w:pPr>
              <w:widowControl/>
              <w:spacing w:line="300" w:lineRule="exact"/>
              <w:rPr>
                <w:rFonts w:hint="default" w:ascii="Times New Roman" w:hAnsi="Times New Roman" w:eastAsia="仿宋_GB2312" w:cs="Times New Roman"/>
                <w:color w:val="auto"/>
                <w:kern w:val="0"/>
                <w:szCs w:val="21"/>
              </w:rPr>
            </w:pPr>
          </w:p>
        </w:tc>
      </w:tr>
      <w:tr w14:paraId="7C278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0574EC2">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13.1.3</w:t>
            </w:r>
          </w:p>
        </w:tc>
        <w:tc>
          <w:tcPr>
            <w:tcW w:w="3703" w:type="dxa"/>
            <w:tcMar>
              <w:left w:w="45" w:type="dxa"/>
              <w:right w:w="45" w:type="dxa"/>
            </w:tcMar>
            <w:vAlign w:val="center"/>
          </w:tcPr>
          <w:p w14:paraId="3075180F">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起重机械须定期保养，设置警示标识，安装防护设施</w:t>
            </w:r>
          </w:p>
        </w:tc>
        <w:tc>
          <w:tcPr>
            <w:tcW w:w="7777" w:type="dxa"/>
            <w:tcMar>
              <w:left w:w="45" w:type="dxa"/>
              <w:right w:w="45" w:type="dxa"/>
            </w:tcMar>
            <w:vAlign w:val="center"/>
          </w:tcPr>
          <w:p w14:paraId="1728B80B">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（270）在用起重机械至少每月进行1次日常维护保养和自行检查，并做记录。</w:t>
            </w:r>
          </w:p>
          <w:p w14:paraId="10292F87">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（271）制定安全操作规程，并在周边醒目位置张贴警示标识，有必要的安全距离和防护措施。</w:t>
            </w:r>
          </w:p>
          <w:p w14:paraId="171103FF">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（272）起重设备声光报警正常，室内起重设备应标有运行通道。</w:t>
            </w:r>
          </w:p>
          <w:p w14:paraId="02D2F8B9">
            <w:pPr>
              <w:widowControl/>
              <w:spacing w:line="300" w:lineRule="exact"/>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color w:val="auto"/>
                <w:kern w:val="0"/>
                <w:szCs w:val="21"/>
              </w:rPr>
              <w:t>（273）废弃不用的起重机械应及时拆除</w:t>
            </w:r>
          </w:p>
        </w:tc>
        <w:tc>
          <w:tcPr>
            <w:tcW w:w="2543" w:type="dxa"/>
            <w:tcMar>
              <w:left w:w="45" w:type="dxa"/>
              <w:right w:w="45" w:type="dxa"/>
            </w:tcMar>
            <w:vAlign w:val="center"/>
          </w:tcPr>
          <w:p w14:paraId="729C95B0">
            <w:pPr>
              <w:widowControl/>
              <w:spacing w:line="300" w:lineRule="exact"/>
              <w:rPr>
                <w:rFonts w:hint="default" w:ascii="Times New Roman" w:hAnsi="Times New Roman" w:eastAsia="仿宋_GB2312" w:cs="Times New Roman"/>
                <w:bCs/>
                <w:color w:val="auto"/>
                <w:kern w:val="0"/>
                <w:szCs w:val="21"/>
              </w:rPr>
            </w:pPr>
          </w:p>
        </w:tc>
      </w:tr>
      <w:tr w14:paraId="1FF1D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2AEE976">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13.2</w:t>
            </w:r>
          </w:p>
        </w:tc>
        <w:tc>
          <w:tcPr>
            <w:tcW w:w="14023" w:type="dxa"/>
            <w:gridSpan w:val="3"/>
            <w:tcMar>
              <w:left w:w="45" w:type="dxa"/>
              <w:right w:w="45" w:type="dxa"/>
            </w:tcMar>
            <w:vAlign w:val="center"/>
          </w:tcPr>
          <w:p w14:paraId="5B3F216B">
            <w:pPr>
              <w:widowControl/>
              <w:spacing w:line="300" w:lineRule="exact"/>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
                <w:color w:val="auto"/>
                <w:kern w:val="0"/>
                <w:szCs w:val="21"/>
              </w:rPr>
              <w:t>压力容器</w:t>
            </w:r>
          </w:p>
        </w:tc>
      </w:tr>
      <w:tr w14:paraId="16AF0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D1D3AEC">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13.2.1</w:t>
            </w:r>
          </w:p>
        </w:tc>
        <w:tc>
          <w:tcPr>
            <w:tcW w:w="3703" w:type="dxa"/>
            <w:tcMar>
              <w:left w:w="45" w:type="dxa"/>
              <w:right w:w="45" w:type="dxa"/>
            </w:tcMar>
            <w:vAlign w:val="center"/>
          </w:tcPr>
          <w:p w14:paraId="056A26E3">
            <w:pPr>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压力容器使用登记、相关人员资格</w:t>
            </w:r>
          </w:p>
        </w:tc>
        <w:tc>
          <w:tcPr>
            <w:tcW w:w="7777" w:type="dxa"/>
            <w:tcMar>
              <w:left w:w="45" w:type="dxa"/>
              <w:right w:w="45" w:type="dxa"/>
            </w:tcMar>
            <w:vAlign w:val="center"/>
          </w:tcPr>
          <w:p w14:paraId="546279F3">
            <w:pPr>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274）盛装气体或者液体，承载一定压力的密闭设备，其范围规定为最高工作压力大于或者等于0.1MPa（表压）的气体、液化气体和最高工作温度高于或者等于标准沸点的液体、容积大于或者等于30L且内直径（非圆形截面指截面内边界最大几何尺寸）大于或者等于150mm的固定式容器和移动式容器，以及氧舱，</w:t>
            </w:r>
            <w:r>
              <w:rPr>
                <w:rFonts w:hint="default" w:ascii="Times New Roman" w:hAnsi="Times New Roman" w:eastAsia="仿宋_GB2312" w:cs="Times New Roman"/>
                <w:bCs/>
                <w:color w:val="auto"/>
                <w:kern w:val="0"/>
                <w:szCs w:val="21"/>
              </w:rPr>
              <w:t>须</w:t>
            </w:r>
            <w:r>
              <w:rPr>
                <w:rFonts w:hint="default" w:ascii="Times New Roman" w:hAnsi="Times New Roman" w:eastAsia="仿宋_GB2312" w:cs="Times New Roman"/>
                <w:color w:val="auto"/>
                <w:kern w:val="0"/>
                <w:szCs w:val="21"/>
              </w:rPr>
              <w:t>取得特种设备使用登记证。设备铭牌上标明为简单压力容器的无须办理。（气瓶的安全检查要点见9.6“实验室气体管理”）。</w:t>
            </w:r>
          </w:p>
          <w:p w14:paraId="60ED54EA">
            <w:pPr>
              <w:widowControl/>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rPr>
              <w:t>（275）快开门式压力容器操作人员、移动式压力容器充装人员、氧舱维护保养人员、特种设备安全管理员应</w:t>
            </w:r>
            <w:r>
              <w:rPr>
                <w:rFonts w:hint="default" w:ascii="Times New Roman" w:hAnsi="Times New Roman" w:eastAsia="仿宋_GB2312" w:cs="Times New Roman"/>
                <w:color w:val="auto"/>
                <w:kern w:val="0"/>
                <w:szCs w:val="21"/>
              </w:rPr>
              <w:t>取得相应的特种设备安全管理和作业人员证，持证上岗，并每4年复审1次</w:t>
            </w:r>
          </w:p>
        </w:tc>
        <w:tc>
          <w:tcPr>
            <w:tcW w:w="2543" w:type="dxa"/>
            <w:tcMar>
              <w:left w:w="45" w:type="dxa"/>
              <w:right w:w="45" w:type="dxa"/>
            </w:tcMar>
            <w:vAlign w:val="center"/>
          </w:tcPr>
          <w:p w14:paraId="0BDF7598">
            <w:pPr>
              <w:rPr>
                <w:rFonts w:hint="default" w:ascii="Times New Roman" w:hAnsi="Times New Roman" w:eastAsia="仿宋_GB2312" w:cs="Times New Roman"/>
                <w:bCs/>
                <w:color w:val="auto"/>
                <w:kern w:val="0"/>
                <w:szCs w:val="21"/>
              </w:rPr>
            </w:pPr>
          </w:p>
        </w:tc>
      </w:tr>
      <w:tr w14:paraId="577C0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2C10469">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13.2.2</w:t>
            </w:r>
          </w:p>
        </w:tc>
        <w:tc>
          <w:tcPr>
            <w:tcW w:w="3703" w:type="dxa"/>
            <w:tcMar>
              <w:left w:w="45" w:type="dxa"/>
              <w:right w:w="45" w:type="dxa"/>
            </w:tcMar>
            <w:vAlign w:val="center"/>
          </w:tcPr>
          <w:p w14:paraId="51D32016">
            <w:pPr>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压力容器定期检验</w:t>
            </w:r>
          </w:p>
        </w:tc>
        <w:tc>
          <w:tcPr>
            <w:tcW w:w="7777" w:type="dxa"/>
            <w:tcMar>
              <w:left w:w="45" w:type="dxa"/>
              <w:right w:w="45" w:type="dxa"/>
            </w:tcMar>
            <w:vAlign w:val="center"/>
          </w:tcPr>
          <w:p w14:paraId="2B82D412">
            <w:pPr>
              <w:widowControl/>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color w:val="auto"/>
                <w:kern w:val="0"/>
                <w:szCs w:val="21"/>
              </w:rPr>
              <w:t>（276）</w:t>
            </w:r>
            <w:r>
              <w:rPr>
                <w:rFonts w:hint="default" w:ascii="Times New Roman" w:hAnsi="Times New Roman" w:eastAsia="仿宋_GB2312" w:cs="Times New Roman"/>
                <w:b/>
                <w:bCs/>
                <w:color w:val="auto"/>
                <w:kern w:val="0"/>
                <w:szCs w:val="21"/>
              </w:rPr>
              <w:t>委托有资质的单位进行定期检验，并将定期检验合格证置于特种设备的显著位置</w:t>
            </w:r>
          </w:p>
          <w:p w14:paraId="550E757A">
            <w:pPr>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（277）</w:t>
            </w:r>
            <w:r>
              <w:rPr>
                <w:rFonts w:hint="default" w:ascii="Times New Roman" w:hAnsi="Times New Roman" w:eastAsia="仿宋_GB2312" w:cs="Times New Roman"/>
                <w:b/>
                <w:bCs/>
                <w:color w:val="auto"/>
                <w:kern w:val="0"/>
                <w:szCs w:val="21"/>
              </w:rPr>
              <w:t>安全阀或压力表等附件须委托有资质的单位定期校验或检定</w:t>
            </w:r>
          </w:p>
        </w:tc>
        <w:tc>
          <w:tcPr>
            <w:tcW w:w="2543" w:type="dxa"/>
            <w:tcMar>
              <w:left w:w="45" w:type="dxa"/>
              <w:right w:w="45" w:type="dxa"/>
            </w:tcMar>
            <w:vAlign w:val="center"/>
          </w:tcPr>
          <w:p w14:paraId="26BDB957">
            <w:pPr>
              <w:rPr>
                <w:rFonts w:hint="default" w:ascii="Times New Roman" w:hAnsi="Times New Roman" w:eastAsia="仿宋_GB2312" w:cs="Times New Roman"/>
                <w:bCs/>
                <w:color w:val="auto"/>
                <w:kern w:val="0"/>
                <w:szCs w:val="21"/>
              </w:rPr>
            </w:pPr>
          </w:p>
        </w:tc>
      </w:tr>
      <w:tr w14:paraId="0D684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C305CB3">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13.2.3</w:t>
            </w:r>
          </w:p>
        </w:tc>
        <w:tc>
          <w:tcPr>
            <w:tcW w:w="3703" w:type="dxa"/>
            <w:tcMar>
              <w:left w:w="45" w:type="dxa"/>
              <w:right w:w="45" w:type="dxa"/>
            </w:tcMar>
            <w:vAlign w:val="center"/>
          </w:tcPr>
          <w:p w14:paraId="76612F6B">
            <w:pPr>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压力容器使用管理</w:t>
            </w:r>
          </w:p>
        </w:tc>
        <w:tc>
          <w:tcPr>
            <w:tcW w:w="7777" w:type="dxa"/>
            <w:tcMar>
              <w:left w:w="45" w:type="dxa"/>
              <w:right w:w="45" w:type="dxa"/>
            </w:tcMar>
            <w:vAlign w:val="center"/>
          </w:tcPr>
          <w:p w14:paraId="09650766">
            <w:pPr>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（278）设置安全管理机构，配备安全管理负责人、安全管理人员和作业人员，建立各项安全管理制度，制定操作规程。</w:t>
            </w:r>
          </w:p>
          <w:p w14:paraId="03D97A59">
            <w:pPr>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（279）实验室应经常巡回检查，发现异常及时处理，并做记录。</w:t>
            </w:r>
          </w:p>
          <w:p w14:paraId="493754D7">
            <w:pPr>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280）建立压力容器自行检查制度，对压力容器本体及其安全附件、装卸附件安全保护装置、测量调控装置、附属仪器仪表进行经常性维护保养，每月至少进行1次月度检查，每年至少进行1次年度检查，并做记录。</w:t>
            </w:r>
          </w:p>
          <w:p w14:paraId="6ABE91E5">
            <w:pPr>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（281）简单压力容器也应建立设备安全管理档案。</w:t>
            </w:r>
          </w:p>
          <w:p w14:paraId="2BEFFD92">
            <w:pPr>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（282）盛装可燃、爆炸性气体的压力容器，其电气设施应防爆，电器开关和熔断器都应设置在明显位置。室外放置的大型气罐应注意防雷</w:t>
            </w:r>
          </w:p>
        </w:tc>
        <w:tc>
          <w:tcPr>
            <w:tcW w:w="2543" w:type="dxa"/>
            <w:tcMar>
              <w:left w:w="45" w:type="dxa"/>
              <w:right w:w="45" w:type="dxa"/>
            </w:tcMar>
            <w:vAlign w:val="center"/>
          </w:tcPr>
          <w:p w14:paraId="30DF9BC9">
            <w:pPr>
              <w:rPr>
                <w:rFonts w:hint="default" w:ascii="Times New Roman" w:hAnsi="Times New Roman" w:eastAsia="仿宋_GB2312" w:cs="Times New Roman"/>
                <w:bCs/>
                <w:color w:val="auto"/>
                <w:kern w:val="0"/>
                <w:szCs w:val="21"/>
              </w:rPr>
            </w:pPr>
          </w:p>
        </w:tc>
      </w:tr>
      <w:tr w14:paraId="29F4C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593A957">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13.2.4</w:t>
            </w:r>
          </w:p>
        </w:tc>
        <w:tc>
          <w:tcPr>
            <w:tcW w:w="3703" w:type="dxa"/>
            <w:tcMar>
              <w:left w:w="45" w:type="dxa"/>
              <w:right w:w="45" w:type="dxa"/>
            </w:tcMar>
            <w:vAlign w:val="center"/>
          </w:tcPr>
          <w:p w14:paraId="3CD46119">
            <w:pPr>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压力容器的使用年限及报废</w:t>
            </w:r>
          </w:p>
        </w:tc>
        <w:tc>
          <w:tcPr>
            <w:tcW w:w="7777" w:type="dxa"/>
            <w:tcMar>
              <w:left w:w="45" w:type="dxa"/>
              <w:right w:w="45" w:type="dxa"/>
            </w:tcMar>
            <w:vAlign w:val="center"/>
          </w:tcPr>
          <w:p w14:paraId="3A9DC48A">
            <w:pPr>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（283）达到设计使用年限的压力容器应及时报废（未规定设计使用年限，但是使用超过20年的压力容器视为达到使用年限），如若超期使用必须进行检验和安全评估</w:t>
            </w:r>
          </w:p>
        </w:tc>
        <w:tc>
          <w:tcPr>
            <w:tcW w:w="2543" w:type="dxa"/>
            <w:tcMar>
              <w:left w:w="45" w:type="dxa"/>
              <w:right w:w="45" w:type="dxa"/>
            </w:tcMar>
            <w:vAlign w:val="center"/>
          </w:tcPr>
          <w:p w14:paraId="5189AE69">
            <w:pPr>
              <w:rPr>
                <w:rFonts w:hint="default" w:ascii="Times New Roman" w:hAnsi="Times New Roman" w:eastAsia="仿宋_GB2312" w:cs="Times New Roman"/>
                <w:bCs/>
                <w:color w:val="auto"/>
                <w:kern w:val="0"/>
                <w:szCs w:val="21"/>
              </w:rPr>
            </w:pPr>
          </w:p>
        </w:tc>
      </w:tr>
      <w:tr w14:paraId="404FA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EBE1A2B">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13.3</w:t>
            </w:r>
          </w:p>
        </w:tc>
        <w:tc>
          <w:tcPr>
            <w:tcW w:w="14023" w:type="dxa"/>
            <w:gridSpan w:val="3"/>
            <w:tcMar>
              <w:left w:w="45" w:type="dxa"/>
              <w:right w:w="45" w:type="dxa"/>
            </w:tcMar>
            <w:vAlign w:val="center"/>
          </w:tcPr>
          <w:p w14:paraId="4DFEBAC3">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场（厂）内专用机动车辆</w:t>
            </w:r>
          </w:p>
        </w:tc>
      </w:tr>
      <w:tr w14:paraId="6B066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BDA8875">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13.3.1</w:t>
            </w:r>
          </w:p>
        </w:tc>
        <w:tc>
          <w:tcPr>
            <w:tcW w:w="3703" w:type="dxa"/>
            <w:tcMar>
              <w:left w:w="45" w:type="dxa"/>
              <w:right w:w="45" w:type="dxa"/>
            </w:tcMar>
            <w:vAlign w:val="center"/>
          </w:tcPr>
          <w:p w14:paraId="19B1D79C">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场（厂）内专用机动车辆须取得特种设备使用登记证</w:t>
            </w:r>
          </w:p>
        </w:tc>
        <w:tc>
          <w:tcPr>
            <w:tcW w:w="7777" w:type="dxa"/>
            <w:tcMar>
              <w:left w:w="45" w:type="dxa"/>
              <w:right w:w="45" w:type="dxa"/>
            </w:tcMar>
            <w:vAlign w:val="center"/>
          </w:tcPr>
          <w:p w14:paraId="56A92CC0">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（284）校园内使用的专用机动车辆须取得特种设备使用登记证</w:t>
            </w:r>
          </w:p>
        </w:tc>
        <w:tc>
          <w:tcPr>
            <w:tcW w:w="2543" w:type="dxa"/>
            <w:tcMar>
              <w:left w:w="45" w:type="dxa"/>
              <w:right w:w="45" w:type="dxa"/>
            </w:tcMar>
            <w:vAlign w:val="center"/>
          </w:tcPr>
          <w:p w14:paraId="33269A9E">
            <w:pPr>
              <w:widowControl/>
              <w:spacing w:line="300" w:lineRule="exact"/>
              <w:rPr>
                <w:rFonts w:hint="default" w:ascii="Times New Roman" w:hAnsi="Times New Roman" w:eastAsia="仿宋_GB2312" w:cs="Times New Roman"/>
                <w:bCs/>
                <w:color w:val="auto"/>
                <w:kern w:val="0"/>
                <w:szCs w:val="21"/>
              </w:rPr>
            </w:pPr>
          </w:p>
        </w:tc>
      </w:tr>
      <w:tr w14:paraId="60AE9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F18D0DA">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13.3.2</w:t>
            </w:r>
          </w:p>
        </w:tc>
        <w:tc>
          <w:tcPr>
            <w:tcW w:w="3703" w:type="dxa"/>
            <w:tcMar>
              <w:left w:w="45" w:type="dxa"/>
              <w:right w:w="45" w:type="dxa"/>
            </w:tcMar>
            <w:vAlign w:val="center"/>
          </w:tcPr>
          <w:p w14:paraId="26112AEA">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作业人员取得相应的特种设备安全管理和作业人员证，持证上岗</w:t>
            </w:r>
          </w:p>
        </w:tc>
        <w:tc>
          <w:tcPr>
            <w:tcW w:w="7777" w:type="dxa"/>
            <w:tcMar>
              <w:left w:w="45" w:type="dxa"/>
              <w:right w:w="45" w:type="dxa"/>
            </w:tcMar>
            <w:vAlign w:val="center"/>
          </w:tcPr>
          <w:p w14:paraId="7BA82640">
            <w:pPr>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color w:val="auto"/>
                <w:kern w:val="0"/>
                <w:szCs w:val="21"/>
              </w:rPr>
              <w:t>（285）作业人员取得相应的特种设备安全管理和作业人员证，证书在有效期内</w:t>
            </w:r>
          </w:p>
        </w:tc>
        <w:tc>
          <w:tcPr>
            <w:tcW w:w="2543" w:type="dxa"/>
            <w:tcMar>
              <w:left w:w="45" w:type="dxa"/>
              <w:right w:w="45" w:type="dxa"/>
            </w:tcMar>
            <w:vAlign w:val="center"/>
          </w:tcPr>
          <w:p w14:paraId="7CD05DE2">
            <w:pPr>
              <w:widowControl/>
              <w:spacing w:line="300" w:lineRule="exact"/>
              <w:rPr>
                <w:rFonts w:hint="default" w:ascii="Times New Roman" w:hAnsi="Times New Roman" w:eastAsia="仿宋_GB2312" w:cs="Times New Roman"/>
                <w:bCs/>
                <w:color w:val="auto"/>
                <w:kern w:val="0"/>
                <w:szCs w:val="21"/>
              </w:rPr>
            </w:pPr>
          </w:p>
        </w:tc>
      </w:tr>
      <w:tr w14:paraId="5C1CB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424D1D0">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13.3.3</w:t>
            </w:r>
          </w:p>
        </w:tc>
        <w:tc>
          <w:tcPr>
            <w:tcW w:w="3703" w:type="dxa"/>
            <w:tcMar>
              <w:left w:w="45" w:type="dxa"/>
              <w:right w:w="45" w:type="dxa"/>
            </w:tcMar>
            <w:vAlign w:val="center"/>
          </w:tcPr>
          <w:p w14:paraId="3391E60A">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委托有资质的单位进行定期检验</w:t>
            </w:r>
          </w:p>
        </w:tc>
        <w:tc>
          <w:tcPr>
            <w:tcW w:w="7777" w:type="dxa"/>
            <w:tcMar>
              <w:left w:w="45" w:type="dxa"/>
              <w:right w:w="45" w:type="dxa"/>
            </w:tcMar>
            <w:vAlign w:val="center"/>
          </w:tcPr>
          <w:p w14:paraId="7F32E06D">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（286）合格证在有效期内</w:t>
            </w:r>
          </w:p>
        </w:tc>
        <w:tc>
          <w:tcPr>
            <w:tcW w:w="2543" w:type="dxa"/>
            <w:tcMar>
              <w:left w:w="45" w:type="dxa"/>
              <w:right w:w="45" w:type="dxa"/>
            </w:tcMar>
            <w:vAlign w:val="center"/>
          </w:tcPr>
          <w:p w14:paraId="5DD8AAC9">
            <w:pPr>
              <w:widowControl/>
              <w:spacing w:line="300" w:lineRule="exact"/>
              <w:rPr>
                <w:rFonts w:hint="default" w:ascii="Times New Roman" w:hAnsi="Times New Roman" w:eastAsia="仿宋_GB2312" w:cs="Times New Roman"/>
                <w:bCs/>
                <w:color w:val="auto"/>
                <w:kern w:val="0"/>
                <w:szCs w:val="21"/>
              </w:rPr>
            </w:pPr>
          </w:p>
        </w:tc>
      </w:tr>
      <w:tr w14:paraId="792A8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5B7D5E7">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13.4</w:t>
            </w:r>
          </w:p>
        </w:tc>
        <w:tc>
          <w:tcPr>
            <w:tcW w:w="14023" w:type="dxa"/>
            <w:gridSpan w:val="3"/>
            <w:tcMar>
              <w:left w:w="45" w:type="dxa"/>
              <w:right w:w="45" w:type="dxa"/>
            </w:tcMar>
            <w:vAlign w:val="center"/>
          </w:tcPr>
          <w:p w14:paraId="0895E2CD">
            <w:pPr>
              <w:widowControl/>
              <w:spacing w:line="300" w:lineRule="exact"/>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加热及制冷装置管理</w:t>
            </w:r>
          </w:p>
        </w:tc>
      </w:tr>
      <w:tr w14:paraId="55CC2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01C648A">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13.4.1</w:t>
            </w:r>
          </w:p>
        </w:tc>
        <w:tc>
          <w:tcPr>
            <w:tcW w:w="3703" w:type="dxa"/>
            <w:tcMar>
              <w:left w:w="45" w:type="dxa"/>
              <w:right w:w="45" w:type="dxa"/>
            </w:tcMar>
            <w:vAlign w:val="center"/>
          </w:tcPr>
          <w:p w14:paraId="0C4A02A3">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贮存危险化学品的冰箱满足防爆要求</w:t>
            </w:r>
          </w:p>
        </w:tc>
        <w:tc>
          <w:tcPr>
            <w:tcW w:w="7777" w:type="dxa"/>
            <w:tcMar>
              <w:left w:w="45" w:type="dxa"/>
              <w:right w:w="45" w:type="dxa"/>
            </w:tcMar>
            <w:vAlign w:val="center"/>
          </w:tcPr>
          <w:p w14:paraId="0E53EE7A">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（287）贮存危险化学品的冰箱应为防爆冰箱或经过防爆改造的冰箱，并在冰箱门上注明是否防爆</w:t>
            </w:r>
          </w:p>
        </w:tc>
        <w:tc>
          <w:tcPr>
            <w:tcW w:w="2543" w:type="dxa"/>
            <w:tcMar>
              <w:left w:w="45" w:type="dxa"/>
              <w:right w:w="45" w:type="dxa"/>
            </w:tcMar>
            <w:vAlign w:val="center"/>
          </w:tcPr>
          <w:p w14:paraId="44F067D5">
            <w:pPr>
              <w:widowControl/>
              <w:spacing w:line="300" w:lineRule="exact"/>
              <w:rPr>
                <w:rFonts w:hint="default" w:ascii="Times New Roman" w:hAnsi="Times New Roman" w:eastAsia="仿宋_GB2312" w:cs="Times New Roman"/>
                <w:bCs/>
                <w:color w:val="auto"/>
                <w:kern w:val="0"/>
                <w:szCs w:val="21"/>
              </w:rPr>
            </w:pPr>
          </w:p>
        </w:tc>
      </w:tr>
      <w:tr w14:paraId="47A58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3407E97">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13.4.2</w:t>
            </w:r>
          </w:p>
        </w:tc>
        <w:tc>
          <w:tcPr>
            <w:tcW w:w="3703" w:type="dxa"/>
            <w:tcMar>
              <w:left w:w="45" w:type="dxa"/>
              <w:right w:w="45" w:type="dxa"/>
            </w:tcMar>
            <w:vAlign w:val="center"/>
          </w:tcPr>
          <w:p w14:paraId="2C45299E">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冰箱内存放的物品须标识明确，试剂必须可靠密封</w:t>
            </w:r>
          </w:p>
        </w:tc>
        <w:tc>
          <w:tcPr>
            <w:tcW w:w="7777" w:type="dxa"/>
            <w:tcMar>
              <w:left w:w="45" w:type="dxa"/>
              <w:right w:w="45" w:type="dxa"/>
            </w:tcMar>
            <w:vAlign w:val="center"/>
          </w:tcPr>
          <w:p w14:paraId="745A662A">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（288）标识至少包括：名称、使用人、日期等，并经常清理。</w:t>
            </w:r>
          </w:p>
          <w:p w14:paraId="4B0E5C4F">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（289）实验室冰箱中试剂瓶螺口拧紧，无开口容器，不得放置非实验用食品、药品。超低温冰箱门上有储物分区标识，置于走廊等区域的超低温冰箱须上锁</w:t>
            </w:r>
          </w:p>
        </w:tc>
        <w:tc>
          <w:tcPr>
            <w:tcW w:w="2543" w:type="dxa"/>
            <w:tcMar>
              <w:left w:w="45" w:type="dxa"/>
              <w:right w:w="45" w:type="dxa"/>
            </w:tcMar>
            <w:vAlign w:val="center"/>
          </w:tcPr>
          <w:p w14:paraId="00F810B4">
            <w:pPr>
              <w:widowControl/>
              <w:spacing w:line="300" w:lineRule="exact"/>
              <w:rPr>
                <w:rFonts w:hint="default" w:ascii="Times New Roman" w:hAnsi="Times New Roman" w:eastAsia="仿宋_GB2312" w:cs="Times New Roman"/>
                <w:bCs/>
                <w:color w:val="auto"/>
                <w:kern w:val="0"/>
                <w:szCs w:val="21"/>
              </w:rPr>
            </w:pPr>
          </w:p>
        </w:tc>
      </w:tr>
      <w:tr w14:paraId="44AF2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3357C81">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13.4.3</w:t>
            </w:r>
          </w:p>
        </w:tc>
        <w:tc>
          <w:tcPr>
            <w:tcW w:w="3703" w:type="dxa"/>
            <w:tcMar>
              <w:left w:w="45" w:type="dxa"/>
              <w:right w:w="45" w:type="dxa"/>
            </w:tcMar>
            <w:vAlign w:val="center"/>
          </w:tcPr>
          <w:p w14:paraId="25F625B9">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冰箱、烘箱、电阻炉的使用满足使用期间和空间等要求</w:t>
            </w:r>
          </w:p>
        </w:tc>
        <w:tc>
          <w:tcPr>
            <w:tcW w:w="7777" w:type="dxa"/>
            <w:tcMar>
              <w:left w:w="45" w:type="dxa"/>
              <w:right w:w="45" w:type="dxa"/>
            </w:tcMar>
            <w:vAlign w:val="center"/>
          </w:tcPr>
          <w:p w14:paraId="6F120145">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（290）冰箱不超期使用（一般使用期限控制为10年），如超期使用须经审批。</w:t>
            </w:r>
          </w:p>
          <w:p w14:paraId="20C7B6D2">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（291）冰箱周围留出足够空间，周围不堆放杂物，不影响散热。</w:t>
            </w:r>
          </w:p>
          <w:p w14:paraId="28BD486B">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（292）烘箱、电阻炉不超期使用（一般使用期限控制为12年），如超期使用须经审批。</w:t>
            </w:r>
          </w:p>
          <w:p w14:paraId="008FF835">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（293）加热设备应放置在通风干燥处，不直接放置在木桌、木板等易燃物品上，周围有一定的散热空间，设备旁不能放置易燃易爆化学品、气瓶、冰箱、杂物等，应远离配电箱、插座、接线板等设备</w:t>
            </w:r>
          </w:p>
        </w:tc>
        <w:tc>
          <w:tcPr>
            <w:tcW w:w="2543" w:type="dxa"/>
            <w:tcMar>
              <w:left w:w="45" w:type="dxa"/>
              <w:right w:w="45" w:type="dxa"/>
            </w:tcMar>
            <w:vAlign w:val="center"/>
          </w:tcPr>
          <w:p w14:paraId="2E31B9BC">
            <w:pPr>
              <w:widowControl/>
              <w:spacing w:line="300" w:lineRule="exact"/>
              <w:rPr>
                <w:rFonts w:hint="default" w:ascii="Times New Roman" w:hAnsi="Times New Roman" w:eastAsia="仿宋_GB2312" w:cs="Times New Roman"/>
                <w:bCs/>
                <w:color w:val="auto"/>
                <w:kern w:val="0"/>
                <w:szCs w:val="21"/>
              </w:rPr>
            </w:pPr>
          </w:p>
        </w:tc>
      </w:tr>
      <w:tr w14:paraId="46D51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EBC4A94">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13.4.4</w:t>
            </w:r>
          </w:p>
        </w:tc>
        <w:tc>
          <w:tcPr>
            <w:tcW w:w="3703" w:type="dxa"/>
            <w:tcMar>
              <w:left w:w="45" w:type="dxa"/>
              <w:right w:w="45" w:type="dxa"/>
            </w:tcMar>
            <w:vAlign w:val="center"/>
          </w:tcPr>
          <w:p w14:paraId="6885B753">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烘箱、电阻炉等加热设备须制定安全操作规程</w:t>
            </w:r>
          </w:p>
        </w:tc>
        <w:tc>
          <w:tcPr>
            <w:tcW w:w="7777" w:type="dxa"/>
            <w:tcMar>
              <w:left w:w="45" w:type="dxa"/>
              <w:right w:w="45" w:type="dxa"/>
            </w:tcMar>
            <w:vAlign w:val="center"/>
          </w:tcPr>
          <w:p w14:paraId="6CD6E7C1">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（294）加热设备周边醒目位置张贴高温警示标志，并有必要的防护措施，张贴有安全操作规程、警示标志。</w:t>
            </w:r>
          </w:p>
          <w:p w14:paraId="0B85D9F1">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（295）</w:t>
            </w:r>
            <w:r>
              <w:rPr>
                <w:rFonts w:hint="default" w:ascii="Times New Roman" w:hAnsi="Times New Roman" w:eastAsia="仿宋_GB2312" w:cs="Times New Roman"/>
                <w:b/>
                <w:bCs/>
                <w:color w:val="auto"/>
                <w:kern w:val="0"/>
                <w:szCs w:val="21"/>
              </w:rPr>
              <w:t>烘箱等加热设备内不准烘烤易燃易爆试剂及易燃物品。</w:t>
            </w:r>
          </w:p>
          <w:p w14:paraId="2906ABB9">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（296）不得使用塑料筐等易燃容器盛放实验物品在烘箱等加热设备内烘烤。</w:t>
            </w:r>
          </w:p>
          <w:p w14:paraId="7FF6A262">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（297）烘箱使用完毕，清理物品、切断电源，确认其冷却至安全温度后方能离开。</w:t>
            </w:r>
          </w:p>
          <w:p w14:paraId="33C08310">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（298）使用电阻炉等明火设备时有人值守。</w:t>
            </w:r>
          </w:p>
          <w:p w14:paraId="7B70C138">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（299）使用加热设备时，温度较高的实验须有人值守或有实时监控措施</w:t>
            </w:r>
          </w:p>
        </w:tc>
        <w:tc>
          <w:tcPr>
            <w:tcW w:w="2543" w:type="dxa"/>
            <w:tcMar>
              <w:left w:w="45" w:type="dxa"/>
              <w:right w:w="45" w:type="dxa"/>
            </w:tcMar>
            <w:vAlign w:val="center"/>
          </w:tcPr>
          <w:p w14:paraId="2FB17B54">
            <w:pPr>
              <w:widowControl/>
              <w:spacing w:line="300" w:lineRule="exact"/>
              <w:rPr>
                <w:rFonts w:hint="default" w:ascii="Times New Roman" w:hAnsi="Times New Roman" w:eastAsia="仿宋_GB2312" w:cs="Times New Roman"/>
                <w:color w:val="auto"/>
                <w:kern w:val="0"/>
                <w:szCs w:val="21"/>
              </w:rPr>
            </w:pPr>
          </w:p>
        </w:tc>
      </w:tr>
      <w:tr w14:paraId="5925F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7774ADE">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13.4.5</w:t>
            </w:r>
          </w:p>
        </w:tc>
        <w:tc>
          <w:tcPr>
            <w:tcW w:w="3703" w:type="dxa"/>
            <w:tcMar>
              <w:left w:w="45" w:type="dxa"/>
              <w:right w:w="45" w:type="dxa"/>
            </w:tcMar>
            <w:vAlign w:val="center"/>
          </w:tcPr>
          <w:p w14:paraId="36802281">
            <w:pPr>
              <w:widowControl/>
              <w:spacing w:line="300" w:lineRule="exact"/>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kern w:val="0"/>
                <w:szCs w:val="21"/>
              </w:rPr>
              <w:t>使用明火电炉或者电吹风须有安全防范举措</w:t>
            </w:r>
          </w:p>
        </w:tc>
        <w:tc>
          <w:tcPr>
            <w:tcW w:w="7777" w:type="dxa"/>
            <w:tcMar>
              <w:left w:w="45" w:type="dxa"/>
              <w:right w:w="45" w:type="dxa"/>
            </w:tcMar>
            <w:vAlign w:val="center"/>
          </w:tcPr>
          <w:p w14:paraId="6CB89271">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（300）涉及化学品的实验室不使用明火电炉。如必须使用，须有安全防范措施。</w:t>
            </w:r>
          </w:p>
          <w:p w14:paraId="7FD6E23F">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（301）</w:t>
            </w:r>
            <w:r>
              <w:rPr>
                <w:rFonts w:hint="default" w:ascii="Times New Roman" w:hAnsi="Times New Roman" w:eastAsia="仿宋_GB2312" w:cs="Times New Roman"/>
                <w:b/>
                <w:bCs/>
                <w:color w:val="auto"/>
                <w:kern w:val="0"/>
                <w:szCs w:val="21"/>
              </w:rPr>
              <w:t>不使用明火电炉加热易燃易爆试剂。</w:t>
            </w:r>
          </w:p>
          <w:p w14:paraId="71B28BFC">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（302）明火电炉、电吹风、电热枪等用毕，须及时拔除电源插头。</w:t>
            </w:r>
          </w:p>
          <w:p w14:paraId="69B1418C">
            <w:pPr>
              <w:widowControl/>
              <w:spacing w:line="300" w:lineRule="exac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（303）不可用纸质、木质等材料自制红外灯烘箱</w:t>
            </w:r>
          </w:p>
        </w:tc>
        <w:tc>
          <w:tcPr>
            <w:tcW w:w="2543" w:type="dxa"/>
            <w:tcMar>
              <w:left w:w="45" w:type="dxa"/>
              <w:right w:w="45" w:type="dxa"/>
            </w:tcMar>
            <w:vAlign w:val="center"/>
          </w:tcPr>
          <w:p w14:paraId="502C9391">
            <w:pPr>
              <w:widowControl/>
              <w:spacing w:line="300" w:lineRule="exact"/>
              <w:rPr>
                <w:rFonts w:hint="default" w:ascii="Times New Roman" w:hAnsi="Times New Roman" w:eastAsia="仿宋_GB2312" w:cs="Times New Roman"/>
                <w:color w:val="auto"/>
                <w:kern w:val="0"/>
                <w:szCs w:val="21"/>
              </w:rPr>
            </w:pPr>
          </w:p>
        </w:tc>
      </w:tr>
    </w:tbl>
    <w:p w14:paraId="208AF000">
      <w:pPr>
        <w:adjustRightInd w:val="0"/>
        <w:snapToGrid w:val="0"/>
        <w:spacing w:before="156" w:beforeLines="50"/>
        <w:rPr>
          <w:rFonts w:eastAsia="仿宋"/>
        </w:rPr>
      </w:pPr>
      <w:r>
        <w:rPr>
          <w:rFonts w:hint="default" w:ascii="Times New Roman" w:hAnsi="Times New Roman" w:eastAsia="仿宋_GB2312" w:cs="Times New Roman"/>
        </w:rPr>
        <w:t>注：本表所列为基本安全隐患，对于其他各类未尽的安全隐患，务必高度重视，严格按照有关部门安全管理要求，并结合高校自身实际情况，全面加强实验室安全管理工作。</w:t>
      </w:r>
    </w:p>
    <w:p w14:paraId="0D25E7C0">
      <w:pPr>
        <w:adjustRightInd w:val="0"/>
        <w:snapToGrid w:val="0"/>
        <w:spacing w:before="156" w:beforeLines="50"/>
        <w:rPr>
          <w:rFonts w:eastAsia="仿宋"/>
        </w:rPr>
      </w:pPr>
    </w:p>
    <w:p w14:paraId="023869A0">
      <w:pPr>
        <w:adjustRightInd w:val="0"/>
        <w:snapToGrid w:val="0"/>
        <w:spacing w:before="156" w:beforeLines="50"/>
        <w:rPr>
          <w:rFonts w:eastAsia="仿宋"/>
        </w:rPr>
      </w:pPr>
    </w:p>
    <w:sectPr>
      <w:footerReference r:id="rId5" w:type="default"/>
      <w:pgSz w:w="16838" w:h="11906" w:orient="landscape"/>
      <w:pgMar w:top="964" w:right="1587" w:bottom="964" w:left="1588" w:header="851" w:footer="992" w:gutter="0"/>
      <w:pgNumType w:start="1"/>
      <w:cols w:space="720" w:num="1"/>
      <w:docGrid w:type="linesAndChar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4D610FC-2E32-4DF7-8D1F-243E55FBB09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embedRegular r:id="rId2" w:fontKey="{C89D5493-5C08-4945-8404-8D893D995BB8}"/>
  </w:font>
  <w:font w:name="仿宋">
    <w:panose1 w:val="02010609060101010101"/>
    <w:charset w:val="86"/>
    <w:family w:val="modern"/>
    <w:pitch w:val="default"/>
    <w:sig w:usb0="800002BF" w:usb1="38CF7CFA" w:usb2="00000016" w:usb3="00000000" w:csb0="00040001" w:csb1="00000000"/>
    <w:embedRegular r:id="rId3" w:fontKey="{B0C1F066-98F3-4805-8865-3040E148B49C}"/>
  </w:font>
  <w:font w:name="文鼎大标宋简">
    <w:altName w:val="宋体"/>
    <w:panose1 w:val="00000000000000000000"/>
    <w:charset w:val="86"/>
    <w:family w:val="roman"/>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00000001" w:usb1="08000000" w:usb2="00000000" w:usb3="00000000" w:csb0="00040000" w:csb1="00000000"/>
    <w:embedRegular r:id="rId4" w:fontKey="{057AFBB5-5588-4C7F-8E81-C1CFA4A0F66D}"/>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4DC89">
    <w:pPr>
      <w:pStyle w:val="13"/>
      <w:jc w:val="center"/>
      <w:rPr>
        <w:sz w:val="28"/>
        <w:szCs w:val="28"/>
      </w:rPr>
    </w:pPr>
    <w:r>
      <w:rPr>
        <w:rFonts w:hint="eastAsia"/>
        <w:sz w:val="28"/>
        <w:szCs w:val="28"/>
      </w:rPr>
      <w:t xml:space="preserve">— </w:t>
    </w: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21</w:t>
    </w:r>
    <w:r>
      <w:rPr>
        <w:sz w:val="28"/>
        <w:szCs w:val="28"/>
      </w:rPr>
      <w:fldChar w:fldCharType="end"/>
    </w:r>
    <w:r>
      <w:rPr>
        <w:rFonts w:hint="eastAsia"/>
        <w:sz w:val="28"/>
        <w:szCs w:val="28"/>
      </w:rPr>
      <w:t xml:space="preserve"> —</w:t>
    </w:r>
  </w:p>
  <w:p w14:paraId="1CDD5062">
    <w:pPr>
      <w:pStyle w:val="1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oNotHyphenateCaps/>
  <w:drawingGridHorizontalSpacing w:val="105"/>
  <w:drawingGridVerticalSpacing w:val="156"/>
  <w:noPunctuationKerning w:val="1"/>
  <w:characterSpacingControl w:val="compressPunctuation"/>
  <w:noLineBreaksAfter w:lang="zh-CN" w:val="([{·‘“〈《「『【〔〖（．［｛￡￥"/>
  <w:noLineBreaksBefore w:lang="zh-CN" w:val="!),.:;?]}¨·ˇˉ―‖’”…∶、。〃々〉》」』】〕〗！＂＇），．：；？］｀｜｝～￠"/>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djZjdhYjIzNjQ4ZjhlZjAxMDMzZTBkMzU1MjczYmMifQ=="/>
  </w:docVars>
  <w:rsids>
    <w:rsidRoot w:val="001040F3"/>
    <w:rsid w:val="0000096B"/>
    <w:rsid w:val="00000F53"/>
    <w:rsid w:val="00000FA6"/>
    <w:rsid w:val="00001131"/>
    <w:rsid w:val="00001890"/>
    <w:rsid w:val="00001B5F"/>
    <w:rsid w:val="00001F2B"/>
    <w:rsid w:val="000034C6"/>
    <w:rsid w:val="000038DB"/>
    <w:rsid w:val="00003903"/>
    <w:rsid w:val="00005CA5"/>
    <w:rsid w:val="00005E28"/>
    <w:rsid w:val="000061AE"/>
    <w:rsid w:val="0000690C"/>
    <w:rsid w:val="00007957"/>
    <w:rsid w:val="00012096"/>
    <w:rsid w:val="00012558"/>
    <w:rsid w:val="0001270F"/>
    <w:rsid w:val="00014177"/>
    <w:rsid w:val="00016CC4"/>
    <w:rsid w:val="000178F5"/>
    <w:rsid w:val="00017B97"/>
    <w:rsid w:val="00020325"/>
    <w:rsid w:val="0002040B"/>
    <w:rsid w:val="00021729"/>
    <w:rsid w:val="000225B1"/>
    <w:rsid w:val="000257E9"/>
    <w:rsid w:val="00025D3E"/>
    <w:rsid w:val="00027CE8"/>
    <w:rsid w:val="00030DF5"/>
    <w:rsid w:val="00032348"/>
    <w:rsid w:val="00032864"/>
    <w:rsid w:val="000338EE"/>
    <w:rsid w:val="00033DED"/>
    <w:rsid w:val="000344B2"/>
    <w:rsid w:val="000349B9"/>
    <w:rsid w:val="000349F6"/>
    <w:rsid w:val="00035A9B"/>
    <w:rsid w:val="00036149"/>
    <w:rsid w:val="00037567"/>
    <w:rsid w:val="00040017"/>
    <w:rsid w:val="00040212"/>
    <w:rsid w:val="0004022D"/>
    <w:rsid w:val="00041761"/>
    <w:rsid w:val="00045838"/>
    <w:rsid w:val="00045948"/>
    <w:rsid w:val="00045AFE"/>
    <w:rsid w:val="000500EB"/>
    <w:rsid w:val="000507E2"/>
    <w:rsid w:val="00050A3F"/>
    <w:rsid w:val="000517F1"/>
    <w:rsid w:val="000534B0"/>
    <w:rsid w:val="000539E4"/>
    <w:rsid w:val="00054FE8"/>
    <w:rsid w:val="0005502C"/>
    <w:rsid w:val="000552ED"/>
    <w:rsid w:val="000561EB"/>
    <w:rsid w:val="00057A85"/>
    <w:rsid w:val="000603C4"/>
    <w:rsid w:val="00061589"/>
    <w:rsid w:val="000622E7"/>
    <w:rsid w:val="0006294E"/>
    <w:rsid w:val="00062B6A"/>
    <w:rsid w:val="000631C4"/>
    <w:rsid w:val="00063601"/>
    <w:rsid w:val="00064691"/>
    <w:rsid w:val="00064B2A"/>
    <w:rsid w:val="00064D61"/>
    <w:rsid w:val="00065355"/>
    <w:rsid w:val="000662B9"/>
    <w:rsid w:val="00067A83"/>
    <w:rsid w:val="0007099A"/>
    <w:rsid w:val="0007264E"/>
    <w:rsid w:val="000730A7"/>
    <w:rsid w:val="000733A6"/>
    <w:rsid w:val="000740FE"/>
    <w:rsid w:val="00074118"/>
    <w:rsid w:val="00075121"/>
    <w:rsid w:val="00075372"/>
    <w:rsid w:val="000758AC"/>
    <w:rsid w:val="000774B2"/>
    <w:rsid w:val="00077C5B"/>
    <w:rsid w:val="000841ED"/>
    <w:rsid w:val="00085302"/>
    <w:rsid w:val="00085554"/>
    <w:rsid w:val="00085646"/>
    <w:rsid w:val="00085E6C"/>
    <w:rsid w:val="000862FF"/>
    <w:rsid w:val="00087332"/>
    <w:rsid w:val="0009012A"/>
    <w:rsid w:val="0009014C"/>
    <w:rsid w:val="00090D7D"/>
    <w:rsid w:val="000927AE"/>
    <w:rsid w:val="00094034"/>
    <w:rsid w:val="00095097"/>
    <w:rsid w:val="0009613B"/>
    <w:rsid w:val="0009716A"/>
    <w:rsid w:val="00097205"/>
    <w:rsid w:val="00097C0F"/>
    <w:rsid w:val="000A2040"/>
    <w:rsid w:val="000A29D9"/>
    <w:rsid w:val="000A3CF6"/>
    <w:rsid w:val="000A4456"/>
    <w:rsid w:val="000A4F36"/>
    <w:rsid w:val="000A52D6"/>
    <w:rsid w:val="000A645B"/>
    <w:rsid w:val="000A7A7A"/>
    <w:rsid w:val="000B02CC"/>
    <w:rsid w:val="000B1A65"/>
    <w:rsid w:val="000B1EB0"/>
    <w:rsid w:val="000B2614"/>
    <w:rsid w:val="000B2D2C"/>
    <w:rsid w:val="000B340F"/>
    <w:rsid w:val="000B3CC6"/>
    <w:rsid w:val="000B3E2E"/>
    <w:rsid w:val="000B4F55"/>
    <w:rsid w:val="000B58F2"/>
    <w:rsid w:val="000B60EE"/>
    <w:rsid w:val="000B633A"/>
    <w:rsid w:val="000B6369"/>
    <w:rsid w:val="000B6445"/>
    <w:rsid w:val="000B6BC0"/>
    <w:rsid w:val="000B6E5F"/>
    <w:rsid w:val="000B71E7"/>
    <w:rsid w:val="000C0F04"/>
    <w:rsid w:val="000C4AF4"/>
    <w:rsid w:val="000C505D"/>
    <w:rsid w:val="000C52A4"/>
    <w:rsid w:val="000C62A8"/>
    <w:rsid w:val="000C6456"/>
    <w:rsid w:val="000C70C0"/>
    <w:rsid w:val="000C7BC8"/>
    <w:rsid w:val="000D0C65"/>
    <w:rsid w:val="000D1897"/>
    <w:rsid w:val="000D1D39"/>
    <w:rsid w:val="000D21C6"/>
    <w:rsid w:val="000D40D9"/>
    <w:rsid w:val="000D6F10"/>
    <w:rsid w:val="000D7D16"/>
    <w:rsid w:val="000E030A"/>
    <w:rsid w:val="000E17CE"/>
    <w:rsid w:val="000E1AAB"/>
    <w:rsid w:val="000E2B06"/>
    <w:rsid w:val="000E2BD1"/>
    <w:rsid w:val="000E624C"/>
    <w:rsid w:val="000E6B3A"/>
    <w:rsid w:val="000E6E22"/>
    <w:rsid w:val="000F0134"/>
    <w:rsid w:val="000F1C49"/>
    <w:rsid w:val="000F2192"/>
    <w:rsid w:val="000F23FC"/>
    <w:rsid w:val="000F26AC"/>
    <w:rsid w:val="000F33FC"/>
    <w:rsid w:val="000F3BF9"/>
    <w:rsid w:val="000F3E6D"/>
    <w:rsid w:val="000F55F2"/>
    <w:rsid w:val="000F5D66"/>
    <w:rsid w:val="000F5DDF"/>
    <w:rsid w:val="000F5DE4"/>
    <w:rsid w:val="000F6802"/>
    <w:rsid w:val="000F71A8"/>
    <w:rsid w:val="001008AD"/>
    <w:rsid w:val="0010097D"/>
    <w:rsid w:val="00100E66"/>
    <w:rsid w:val="001013B9"/>
    <w:rsid w:val="0010152B"/>
    <w:rsid w:val="00102F64"/>
    <w:rsid w:val="001035DF"/>
    <w:rsid w:val="001040F3"/>
    <w:rsid w:val="00105938"/>
    <w:rsid w:val="001059FE"/>
    <w:rsid w:val="00107176"/>
    <w:rsid w:val="00107337"/>
    <w:rsid w:val="001073B8"/>
    <w:rsid w:val="00107532"/>
    <w:rsid w:val="00107564"/>
    <w:rsid w:val="00107F92"/>
    <w:rsid w:val="001112B5"/>
    <w:rsid w:val="00111859"/>
    <w:rsid w:val="001119FB"/>
    <w:rsid w:val="00111AA5"/>
    <w:rsid w:val="001137D6"/>
    <w:rsid w:val="00113C6B"/>
    <w:rsid w:val="00114210"/>
    <w:rsid w:val="00114A79"/>
    <w:rsid w:val="00117113"/>
    <w:rsid w:val="00117E7E"/>
    <w:rsid w:val="00120B03"/>
    <w:rsid w:val="00120D87"/>
    <w:rsid w:val="00120E00"/>
    <w:rsid w:val="00120EAE"/>
    <w:rsid w:val="00120EFB"/>
    <w:rsid w:val="00121081"/>
    <w:rsid w:val="001211F9"/>
    <w:rsid w:val="0012236F"/>
    <w:rsid w:val="00122754"/>
    <w:rsid w:val="00122820"/>
    <w:rsid w:val="0012290E"/>
    <w:rsid w:val="0012298A"/>
    <w:rsid w:val="00123622"/>
    <w:rsid w:val="001241E5"/>
    <w:rsid w:val="00124A64"/>
    <w:rsid w:val="00124E9A"/>
    <w:rsid w:val="00125413"/>
    <w:rsid w:val="00125C51"/>
    <w:rsid w:val="00125E2C"/>
    <w:rsid w:val="00125E66"/>
    <w:rsid w:val="00126CE4"/>
    <w:rsid w:val="0012755C"/>
    <w:rsid w:val="00127CD6"/>
    <w:rsid w:val="0013068D"/>
    <w:rsid w:val="00131CE5"/>
    <w:rsid w:val="00132C04"/>
    <w:rsid w:val="00132CA5"/>
    <w:rsid w:val="001334D8"/>
    <w:rsid w:val="00133CBD"/>
    <w:rsid w:val="00134003"/>
    <w:rsid w:val="00135444"/>
    <w:rsid w:val="00135DBD"/>
    <w:rsid w:val="0013645C"/>
    <w:rsid w:val="00136E51"/>
    <w:rsid w:val="001377DF"/>
    <w:rsid w:val="00137D6F"/>
    <w:rsid w:val="001402F3"/>
    <w:rsid w:val="00142F28"/>
    <w:rsid w:val="00142F90"/>
    <w:rsid w:val="00143F64"/>
    <w:rsid w:val="00144DB2"/>
    <w:rsid w:val="001473EB"/>
    <w:rsid w:val="001507F7"/>
    <w:rsid w:val="00150BB5"/>
    <w:rsid w:val="00150D34"/>
    <w:rsid w:val="001517D4"/>
    <w:rsid w:val="00152021"/>
    <w:rsid w:val="0015410B"/>
    <w:rsid w:val="0015434E"/>
    <w:rsid w:val="001545EA"/>
    <w:rsid w:val="00154F77"/>
    <w:rsid w:val="0015570F"/>
    <w:rsid w:val="00155B14"/>
    <w:rsid w:val="001563F6"/>
    <w:rsid w:val="00156A91"/>
    <w:rsid w:val="001571CD"/>
    <w:rsid w:val="00157D28"/>
    <w:rsid w:val="001601BC"/>
    <w:rsid w:val="001606A2"/>
    <w:rsid w:val="001611F7"/>
    <w:rsid w:val="001625B1"/>
    <w:rsid w:val="001627DB"/>
    <w:rsid w:val="00163FE8"/>
    <w:rsid w:val="00164ED2"/>
    <w:rsid w:val="00164FF6"/>
    <w:rsid w:val="00166F15"/>
    <w:rsid w:val="001704DE"/>
    <w:rsid w:val="00170665"/>
    <w:rsid w:val="00171905"/>
    <w:rsid w:val="00171EB3"/>
    <w:rsid w:val="0017248E"/>
    <w:rsid w:val="001737D6"/>
    <w:rsid w:val="0017389B"/>
    <w:rsid w:val="00173F8C"/>
    <w:rsid w:val="001748A0"/>
    <w:rsid w:val="00175BFD"/>
    <w:rsid w:val="00175F72"/>
    <w:rsid w:val="0017785B"/>
    <w:rsid w:val="00177A28"/>
    <w:rsid w:val="00177A81"/>
    <w:rsid w:val="0018014D"/>
    <w:rsid w:val="001805A6"/>
    <w:rsid w:val="00180E01"/>
    <w:rsid w:val="001829C0"/>
    <w:rsid w:val="00187AC7"/>
    <w:rsid w:val="00187B34"/>
    <w:rsid w:val="00190122"/>
    <w:rsid w:val="001902EC"/>
    <w:rsid w:val="00190F17"/>
    <w:rsid w:val="00190FE8"/>
    <w:rsid w:val="001915CE"/>
    <w:rsid w:val="001938A3"/>
    <w:rsid w:val="00195F30"/>
    <w:rsid w:val="00196097"/>
    <w:rsid w:val="00196EFB"/>
    <w:rsid w:val="00197334"/>
    <w:rsid w:val="001979A5"/>
    <w:rsid w:val="001A2900"/>
    <w:rsid w:val="001A3AAC"/>
    <w:rsid w:val="001A4531"/>
    <w:rsid w:val="001A4938"/>
    <w:rsid w:val="001A49FA"/>
    <w:rsid w:val="001A4DD0"/>
    <w:rsid w:val="001A4EC2"/>
    <w:rsid w:val="001A70CA"/>
    <w:rsid w:val="001A7A73"/>
    <w:rsid w:val="001A7BF6"/>
    <w:rsid w:val="001B00C2"/>
    <w:rsid w:val="001B0B26"/>
    <w:rsid w:val="001B1667"/>
    <w:rsid w:val="001B16DB"/>
    <w:rsid w:val="001B1CF6"/>
    <w:rsid w:val="001B23B2"/>
    <w:rsid w:val="001B2652"/>
    <w:rsid w:val="001B2B5D"/>
    <w:rsid w:val="001B4744"/>
    <w:rsid w:val="001B6C41"/>
    <w:rsid w:val="001B7928"/>
    <w:rsid w:val="001C0804"/>
    <w:rsid w:val="001C0BE4"/>
    <w:rsid w:val="001C1543"/>
    <w:rsid w:val="001C40FD"/>
    <w:rsid w:val="001C631D"/>
    <w:rsid w:val="001C6397"/>
    <w:rsid w:val="001C67CC"/>
    <w:rsid w:val="001C6AB0"/>
    <w:rsid w:val="001C70FA"/>
    <w:rsid w:val="001C75E4"/>
    <w:rsid w:val="001D001C"/>
    <w:rsid w:val="001D0302"/>
    <w:rsid w:val="001D085A"/>
    <w:rsid w:val="001D115C"/>
    <w:rsid w:val="001D1470"/>
    <w:rsid w:val="001D1664"/>
    <w:rsid w:val="001D1670"/>
    <w:rsid w:val="001D1733"/>
    <w:rsid w:val="001D1BCD"/>
    <w:rsid w:val="001D1D96"/>
    <w:rsid w:val="001D232E"/>
    <w:rsid w:val="001D2C13"/>
    <w:rsid w:val="001D302D"/>
    <w:rsid w:val="001D3868"/>
    <w:rsid w:val="001D46C5"/>
    <w:rsid w:val="001D5AB5"/>
    <w:rsid w:val="001D73F2"/>
    <w:rsid w:val="001D7DE8"/>
    <w:rsid w:val="001D7E98"/>
    <w:rsid w:val="001E030F"/>
    <w:rsid w:val="001E15E2"/>
    <w:rsid w:val="001E29CE"/>
    <w:rsid w:val="001E2D52"/>
    <w:rsid w:val="001E2F20"/>
    <w:rsid w:val="001E2F2E"/>
    <w:rsid w:val="001E3222"/>
    <w:rsid w:val="001E4D98"/>
    <w:rsid w:val="001E5D10"/>
    <w:rsid w:val="001E5D72"/>
    <w:rsid w:val="001E5EED"/>
    <w:rsid w:val="001E5FBD"/>
    <w:rsid w:val="001E69FE"/>
    <w:rsid w:val="001E6AF6"/>
    <w:rsid w:val="001E6BEB"/>
    <w:rsid w:val="001E72FC"/>
    <w:rsid w:val="001E7516"/>
    <w:rsid w:val="001E7EDD"/>
    <w:rsid w:val="001F0160"/>
    <w:rsid w:val="001F1DB9"/>
    <w:rsid w:val="001F203B"/>
    <w:rsid w:val="001F2916"/>
    <w:rsid w:val="001F3103"/>
    <w:rsid w:val="001F3562"/>
    <w:rsid w:val="001F5CE4"/>
    <w:rsid w:val="001F6089"/>
    <w:rsid w:val="001F73CE"/>
    <w:rsid w:val="001F752B"/>
    <w:rsid w:val="001F7EA7"/>
    <w:rsid w:val="0020079A"/>
    <w:rsid w:val="00200A3D"/>
    <w:rsid w:val="00200C3C"/>
    <w:rsid w:val="00201399"/>
    <w:rsid w:val="0020295B"/>
    <w:rsid w:val="00202F43"/>
    <w:rsid w:val="0020357E"/>
    <w:rsid w:val="00204AE8"/>
    <w:rsid w:val="00204B76"/>
    <w:rsid w:val="00204BEB"/>
    <w:rsid w:val="002060B3"/>
    <w:rsid w:val="00207FEC"/>
    <w:rsid w:val="00210B50"/>
    <w:rsid w:val="00211A37"/>
    <w:rsid w:val="00212E79"/>
    <w:rsid w:val="00212F82"/>
    <w:rsid w:val="002141EF"/>
    <w:rsid w:val="002141F2"/>
    <w:rsid w:val="0021429F"/>
    <w:rsid w:val="00214549"/>
    <w:rsid w:val="002146ED"/>
    <w:rsid w:val="00214CA3"/>
    <w:rsid w:val="00216729"/>
    <w:rsid w:val="00217B60"/>
    <w:rsid w:val="00221880"/>
    <w:rsid w:val="00222AE3"/>
    <w:rsid w:val="002249E7"/>
    <w:rsid w:val="00224CAF"/>
    <w:rsid w:val="002251BC"/>
    <w:rsid w:val="00225846"/>
    <w:rsid w:val="00225B7D"/>
    <w:rsid w:val="00225F53"/>
    <w:rsid w:val="00226F9D"/>
    <w:rsid w:val="002275B0"/>
    <w:rsid w:val="00227809"/>
    <w:rsid w:val="00227E37"/>
    <w:rsid w:val="00230750"/>
    <w:rsid w:val="00231CB9"/>
    <w:rsid w:val="00232026"/>
    <w:rsid w:val="0023309C"/>
    <w:rsid w:val="002336B8"/>
    <w:rsid w:val="00236EE4"/>
    <w:rsid w:val="0023770F"/>
    <w:rsid w:val="0023790C"/>
    <w:rsid w:val="00237BBB"/>
    <w:rsid w:val="00237EBE"/>
    <w:rsid w:val="002401F5"/>
    <w:rsid w:val="00241712"/>
    <w:rsid w:val="00241A97"/>
    <w:rsid w:val="00242483"/>
    <w:rsid w:val="002429A9"/>
    <w:rsid w:val="00242B32"/>
    <w:rsid w:val="00244389"/>
    <w:rsid w:val="00244EA9"/>
    <w:rsid w:val="00245D34"/>
    <w:rsid w:val="00246398"/>
    <w:rsid w:val="00246A40"/>
    <w:rsid w:val="0024764A"/>
    <w:rsid w:val="00250BDC"/>
    <w:rsid w:val="00251B41"/>
    <w:rsid w:val="002542FD"/>
    <w:rsid w:val="002543F0"/>
    <w:rsid w:val="00254981"/>
    <w:rsid w:val="00255794"/>
    <w:rsid w:val="00255C8C"/>
    <w:rsid w:val="00255D52"/>
    <w:rsid w:val="00256E14"/>
    <w:rsid w:val="00260336"/>
    <w:rsid w:val="00260852"/>
    <w:rsid w:val="00261941"/>
    <w:rsid w:val="00262304"/>
    <w:rsid w:val="00262577"/>
    <w:rsid w:val="00263347"/>
    <w:rsid w:val="0026365C"/>
    <w:rsid w:val="002655DC"/>
    <w:rsid w:val="00266A2B"/>
    <w:rsid w:val="00267503"/>
    <w:rsid w:val="00267931"/>
    <w:rsid w:val="0027038D"/>
    <w:rsid w:val="002709C1"/>
    <w:rsid w:val="002717FD"/>
    <w:rsid w:val="002719EB"/>
    <w:rsid w:val="00271D7A"/>
    <w:rsid w:val="002722D6"/>
    <w:rsid w:val="00275E3C"/>
    <w:rsid w:val="00275E7D"/>
    <w:rsid w:val="00275F18"/>
    <w:rsid w:val="00276BD3"/>
    <w:rsid w:val="00276E06"/>
    <w:rsid w:val="00277FBA"/>
    <w:rsid w:val="00281C08"/>
    <w:rsid w:val="0028289C"/>
    <w:rsid w:val="00282D6E"/>
    <w:rsid w:val="002831E9"/>
    <w:rsid w:val="00283339"/>
    <w:rsid w:val="0028397F"/>
    <w:rsid w:val="0028528B"/>
    <w:rsid w:val="00285831"/>
    <w:rsid w:val="002858C9"/>
    <w:rsid w:val="002876BC"/>
    <w:rsid w:val="00290798"/>
    <w:rsid w:val="002914AD"/>
    <w:rsid w:val="00291F5A"/>
    <w:rsid w:val="00294CFE"/>
    <w:rsid w:val="00294FEE"/>
    <w:rsid w:val="00296302"/>
    <w:rsid w:val="00296791"/>
    <w:rsid w:val="00297386"/>
    <w:rsid w:val="002A0679"/>
    <w:rsid w:val="002A1F9C"/>
    <w:rsid w:val="002A201B"/>
    <w:rsid w:val="002A2A2E"/>
    <w:rsid w:val="002A35AC"/>
    <w:rsid w:val="002A58C0"/>
    <w:rsid w:val="002A68D5"/>
    <w:rsid w:val="002A6CBD"/>
    <w:rsid w:val="002A79BC"/>
    <w:rsid w:val="002B15B1"/>
    <w:rsid w:val="002B1B18"/>
    <w:rsid w:val="002B2B11"/>
    <w:rsid w:val="002B3ACD"/>
    <w:rsid w:val="002B4378"/>
    <w:rsid w:val="002B5ED3"/>
    <w:rsid w:val="002B5FD1"/>
    <w:rsid w:val="002B60D7"/>
    <w:rsid w:val="002B61FB"/>
    <w:rsid w:val="002B6EB3"/>
    <w:rsid w:val="002C0048"/>
    <w:rsid w:val="002C1374"/>
    <w:rsid w:val="002C13EF"/>
    <w:rsid w:val="002C17E5"/>
    <w:rsid w:val="002C1E7F"/>
    <w:rsid w:val="002C350E"/>
    <w:rsid w:val="002C3C60"/>
    <w:rsid w:val="002C3D44"/>
    <w:rsid w:val="002C3FB7"/>
    <w:rsid w:val="002C4529"/>
    <w:rsid w:val="002C57A9"/>
    <w:rsid w:val="002C5862"/>
    <w:rsid w:val="002C586F"/>
    <w:rsid w:val="002C5967"/>
    <w:rsid w:val="002C6B5B"/>
    <w:rsid w:val="002C7C8E"/>
    <w:rsid w:val="002D15A1"/>
    <w:rsid w:val="002D2063"/>
    <w:rsid w:val="002D20B1"/>
    <w:rsid w:val="002D216D"/>
    <w:rsid w:val="002D22B6"/>
    <w:rsid w:val="002D2C5E"/>
    <w:rsid w:val="002D31C1"/>
    <w:rsid w:val="002D38F5"/>
    <w:rsid w:val="002D5074"/>
    <w:rsid w:val="002D5FD7"/>
    <w:rsid w:val="002D63F6"/>
    <w:rsid w:val="002D76D9"/>
    <w:rsid w:val="002E00FB"/>
    <w:rsid w:val="002E1EB8"/>
    <w:rsid w:val="002E2D3E"/>
    <w:rsid w:val="002E3485"/>
    <w:rsid w:val="002E3E8F"/>
    <w:rsid w:val="002E4C01"/>
    <w:rsid w:val="002E55BE"/>
    <w:rsid w:val="002E55F5"/>
    <w:rsid w:val="002F09FF"/>
    <w:rsid w:val="002F1086"/>
    <w:rsid w:val="002F214B"/>
    <w:rsid w:val="002F2441"/>
    <w:rsid w:val="002F2870"/>
    <w:rsid w:val="002F332F"/>
    <w:rsid w:val="002F33BB"/>
    <w:rsid w:val="002F37F0"/>
    <w:rsid w:val="002F422D"/>
    <w:rsid w:val="002F4283"/>
    <w:rsid w:val="002F46C6"/>
    <w:rsid w:val="002F4859"/>
    <w:rsid w:val="002F60AB"/>
    <w:rsid w:val="002F60F0"/>
    <w:rsid w:val="002F63D6"/>
    <w:rsid w:val="002F6EA9"/>
    <w:rsid w:val="002F7375"/>
    <w:rsid w:val="003012E3"/>
    <w:rsid w:val="00301D41"/>
    <w:rsid w:val="00302310"/>
    <w:rsid w:val="003044AB"/>
    <w:rsid w:val="00310ABE"/>
    <w:rsid w:val="00312077"/>
    <w:rsid w:val="00312671"/>
    <w:rsid w:val="00314D7C"/>
    <w:rsid w:val="00315440"/>
    <w:rsid w:val="003168D9"/>
    <w:rsid w:val="00316A1C"/>
    <w:rsid w:val="00316C1B"/>
    <w:rsid w:val="003171FB"/>
    <w:rsid w:val="00317384"/>
    <w:rsid w:val="0031765E"/>
    <w:rsid w:val="00317716"/>
    <w:rsid w:val="00317D4F"/>
    <w:rsid w:val="00320A49"/>
    <w:rsid w:val="00320C47"/>
    <w:rsid w:val="00320EF6"/>
    <w:rsid w:val="003213CE"/>
    <w:rsid w:val="0032145F"/>
    <w:rsid w:val="003219B8"/>
    <w:rsid w:val="003226E6"/>
    <w:rsid w:val="00322869"/>
    <w:rsid w:val="00323D6E"/>
    <w:rsid w:val="0032479A"/>
    <w:rsid w:val="0032692B"/>
    <w:rsid w:val="003269B3"/>
    <w:rsid w:val="00331039"/>
    <w:rsid w:val="003316E4"/>
    <w:rsid w:val="00331BCE"/>
    <w:rsid w:val="00332136"/>
    <w:rsid w:val="003322B2"/>
    <w:rsid w:val="00333A97"/>
    <w:rsid w:val="003359BA"/>
    <w:rsid w:val="0034157D"/>
    <w:rsid w:val="00342C08"/>
    <w:rsid w:val="00342FE5"/>
    <w:rsid w:val="0034383E"/>
    <w:rsid w:val="003438AF"/>
    <w:rsid w:val="00343CF3"/>
    <w:rsid w:val="00344710"/>
    <w:rsid w:val="003454BC"/>
    <w:rsid w:val="0034623A"/>
    <w:rsid w:val="00346950"/>
    <w:rsid w:val="00346F26"/>
    <w:rsid w:val="00347602"/>
    <w:rsid w:val="00347D25"/>
    <w:rsid w:val="0035007D"/>
    <w:rsid w:val="00350256"/>
    <w:rsid w:val="00352334"/>
    <w:rsid w:val="00352B4F"/>
    <w:rsid w:val="00352D94"/>
    <w:rsid w:val="0035347A"/>
    <w:rsid w:val="003559A5"/>
    <w:rsid w:val="0035718F"/>
    <w:rsid w:val="00357762"/>
    <w:rsid w:val="00357A1F"/>
    <w:rsid w:val="00362357"/>
    <w:rsid w:val="00362646"/>
    <w:rsid w:val="003630AC"/>
    <w:rsid w:val="00363730"/>
    <w:rsid w:val="0036517E"/>
    <w:rsid w:val="00365B6D"/>
    <w:rsid w:val="00366172"/>
    <w:rsid w:val="0036769E"/>
    <w:rsid w:val="003679EB"/>
    <w:rsid w:val="00367ADB"/>
    <w:rsid w:val="00367FEC"/>
    <w:rsid w:val="003732EA"/>
    <w:rsid w:val="003735E4"/>
    <w:rsid w:val="0037399A"/>
    <w:rsid w:val="00373C75"/>
    <w:rsid w:val="0037451F"/>
    <w:rsid w:val="00374E5E"/>
    <w:rsid w:val="003765A3"/>
    <w:rsid w:val="00376793"/>
    <w:rsid w:val="00376FAB"/>
    <w:rsid w:val="00376FDA"/>
    <w:rsid w:val="003775DB"/>
    <w:rsid w:val="0037763C"/>
    <w:rsid w:val="003776B4"/>
    <w:rsid w:val="0037776B"/>
    <w:rsid w:val="00377F67"/>
    <w:rsid w:val="00380A30"/>
    <w:rsid w:val="00381C42"/>
    <w:rsid w:val="00381E9D"/>
    <w:rsid w:val="00382021"/>
    <w:rsid w:val="003843B1"/>
    <w:rsid w:val="00384A4D"/>
    <w:rsid w:val="00384F21"/>
    <w:rsid w:val="00387213"/>
    <w:rsid w:val="00387D20"/>
    <w:rsid w:val="003905CD"/>
    <w:rsid w:val="0039076A"/>
    <w:rsid w:val="003910BA"/>
    <w:rsid w:val="00391CDC"/>
    <w:rsid w:val="00391EDF"/>
    <w:rsid w:val="003928D6"/>
    <w:rsid w:val="0039330B"/>
    <w:rsid w:val="00394BF6"/>
    <w:rsid w:val="003968EA"/>
    <w:rsid w:val="003979AA"/>
    <w:rsid w:val="003A07B3"/>
    <w:rsid w:val="003A0816"/>
    <w:rsid w:val="003A108E"/>
    <w:rsid w:val="003A16FA"/>
    <w:rsid w:val="003A1BC1"/>
    <w:rsid w:val="003A27CD"/>
    <w:rsid w:val="003A30A2"/>
    <w:rsid w:val="003A363C"/>
    <w:rsid w:val="003A4EDD"/>
    <w:rsid w:val="003A514A"/>
    <w:rsid w:val="003A6E6B"/>
    <w:rsid w:val="003A7581"/>
    <w:rsid w:val="003A7A18"/>
    <w:rsid w:val="003A7E61"/>
    <w:rsid w:val="003B1481"/>
    <w:rsid w:val="003B1CAD"/>
    <w:rsid w:val="003B319C"/>
    <w:rsid w:val="003B49C9"/>
    <w:rsid w:val="003B560E"/>
    <w:rsid w:val="003B63D3"/>
    <w:rsid w:val="003B6FBC"/>
    <w:rsid w:val="003B7D8E"/>
    <w:rsid w:val="003C039B"/>
    <w:rsid w:val="003C056F"/>
    <w:rsid w:val="003C1E2E"/>
    <w:rsid w:val="003C22F8"/>
    <w:rsid w:val="003C2A42"/>
    <w:rsid w:val="003C44F0"/>
    <w:rsid w:val="003C6ABB"/>
    <w:rsid w:val="003C7F9A"/>
    <w:rsid w:val="003D0256"/>
    <w:rsid w:val="003D0D4F"/>
    <w:rsid w:val="003D0E76"/>
    <w:rsid w:val="003D1223"/>
    <w:rsid w:val="003D1249"/>
    <w:rsid w:val="003D175F"/>
    <w:rsid w:val="003D3C99"/>
    <w:rsid w:val="003D43C4"/>
    <w:rsid w:val="003D4AD6"/>
    <w:rsid w:val="003D509D"/>
    <w:rsid w:val="003D5573"/>
    <w:rsid w:val="003D6177"/>
    <w:rsid w:val="003E2C38"/>
    <w:rsid w:val="003E49C0"/>
    <w:rsid w:val="003E5997"/>
    <w:rsid w:val="003E6F3F"/>
    <w:rsid w:val="003E712C"/>
    <w:rsid w:val="003E78ED"/>
    <w:rsid w:val="003E7D34"/>
    <w:rsid w:val="003F0EB3"/>
    <w:rsid w:val="003F2694"/>
    <w:rsid w:val="003F3BD2"/>
    <w:rsid w:val="003F3C46"/>
    <w:rsid w:val="003F3E5B"/>
    <w:rsid w:val="003F4371"/>
    <w:rsid w:val="003F4D88"/>
    <w:rsid w:val="003F5BA3"/>
    <w:rsid w:val="003F74C2"/>
    <w:rsid w:val="003F7839"/>
    <w:rsid w:val="003F7E48"/>
    <w:rsid w:val="00401E59"/>
    <w:rsid w:val="00402052"/>
    <w:rsid w:val="00403F8B"/>
    <w:rsid w:val="00405994"/>
    <w:rsid w:val="00405F10"/>
    <w:rsid w:val="004067F5"/>
    <w:rsid w:val="004069ED"/>
    <w:rsid w:val="004072B6"/>
    <w:rsid w:val="0040789F"/>
    <w:rsid w:val="00407AE0"/>
    <w:rsid w:val="00407B11"/>
    <w:rsid w:val="00407B45"/>
    <w:rsid w:val="00410409"/>
    <w:rsid w:val="00410AE6"/>
    <w:rsid w:val="00410D5F"/>
    <w:rsid w:val="00410DAB"/>
    <w:rsid w:val="00411B39"/>
    <w:rsid w:val="00411FB9"/>
    <w:rsid w:val="004130BD"/>
    <w:rsid w:val="004137F2"/>
    <w:rsid w:val="00414256"/>
    <w:rsid w:val="00414333"/>
    <w:rsid w:val="00414E69"/>
    <w:rsid w:val="004153D4"/>
    <w:rsid w:val="00415984"/>
    <w:rsid w:val="004203B0"/>
    <w:rsid w:val="00420F21"/>
    <w:rsid w:val="00420F30"/>
    <w:rsid w:val="004213E8"/>
    <w:rsid w:val="004215F3"/>
    <w:rsid w:val="00422037"/>
    <w:rsid w:val="00422593"/>
    <w:rsid w:val="0042271E"/>
    <w:rsid w:val="0042277E"/>
    <w:rsid w:val="00422CFA"/>
    <w:rsid w:val="004231E5"/>
    <w:rsid w:val="0042371A"/>
    <w:rsid w:val="00424D9A"/>
    <w:rsid w:val="00425970"/>
    <w:rsid w:val="00425FFC"/>
    <w:rsid w:val="00426F57"/>
    <w:rsid w:val="00430303"/>
    <w:rsid w:val="00430447"/>
    <w:rsid w:val="00430528"/>
    <w:rsid w:val="00430F4D"/>
    <w:rsid w:val="004314AA"/>
    <w:rsid w:val="004315C0"/>
    <w:rsid w:val="0043248B"/>
    <w:rsid w:val="004324AD"/>
    <w:rsid w:val="00432679"/>
    <w:rsid w:val="0043288E"/>
    <w:rsid w:val="00433075"/>
    <w:rsid w:val="00433286"/>
    <w:rsid w:val="00433840"/>
    <w:rsid w:val="00434010"/>
    <w:rsid w:val="0043456A"/>
    <w:rsid w:val="00434F96"/>
    <w:rsid w:val="004352BD"/>
    <w:rsid w:val="00435819"/>
    <w:rsid w:val="00435ADB"/>
    <w:rsid w:val="004365D6"/>
    <w:rsid w:val="0043661B"/>
    <w:rsid w:val="00436CAB"/>
    <w:rsid w:val="00440BF0"/>
    <w:rsid w:val="00441C91"/>
    <w:rsid w:val="00444DFA"/>
    <w:rsid w:val="00445C73"/>
    <w:rsid w:val="004474CC"/>
    <w:rsid w:val="00447A7F"/>
    <w:rsid w:val="00447C6A"/>
    <w:rsid w:val="00450670"/>
    <w:rsid w:val="00450E29"/>
    <w:rsid w:val="00451CBF"/>
    <w:rsid w:val="00452D6D"/>
    <w:rsid w:val="00453739"/>
    <w:rsid w:val="0045391A"/>
    <w:rsid w:val="00453D27"/>
    <w:rsid w:val="00456636"/>
    <w:rsid w:val="00456E54"/>
    <w:rsid w:val="00460D2E"/>
    <w:rsid w:val="004612CD"/>
    <w:rsid w:val="00462077"/>
    <w:rsid w:val="00462221"/>
    <w:rsid w:val="00462734"/>
    <w:rsid w:val="00462EE4"/>
    <w:rsid w:val="004631EE"/>
    <w:rsid w:val="00464024"/>
    <w:rsid w:val="004644FD"/>
    <w:rsid w:val="004658E4"/>
    <w:rsid w:val="004659C1"/>
    <w:rsid w:val="00466175"/>
    <w:rsid w:val="00466273"/>
    <w:rsid w:val="00466B8C"/>
    <w:rsid w:val="00466C97"/>
    <w:rsid w:val="00466EA6"/>
    <w:rsid w:val="00472034"/>
    <w:rsid w:val="00472D42"/>
    <w:rsid w:val="00472DCD"/>
    <w:rsid w:val="004735DF"/>
    <w:rsid w:val="00473C85"/>
    <w:rsid w:val="0047428E"/>
    <w:rsid w:val="0047457E"/>
    <w:rsid w:val="004753DB"/>
    <w:rsid w:val="00475423"/>
    <w:rsid w:val="00477A12"/>
    <w:rsid w:val="004805DC"/>
    <w:rsid w:val="00481550"/>
    <w:rsid w:val="00482097"/>
    <w:rsid w:val="00482197"/>
    <w:rsid w:val="004826F7"/>
    <w:rsid w:val="00482F12"/>
    <w:rsid w:val="00484AEB"/>
    <w:rsid w:val="00486088"/>
    <w:rsid w:val="0048695A"/>
    <w:rsid w:val="00486E81"/>
    <w:rsid w:val="00486EF1"/>
    <w:rsid w:val="00487029"/>
    <w:rsid w:val="004904F3"/>
    <w:rsid w:val="004927BE"/>
    <w:rsid w:val="00492BE0"/>
    <w:rsid w:val="00492BE2"/>
    <w:rsid w:val="00493785"/>
    <w:rsid w:val="00494721"/>
    <w:rsid w:val="00494FEE"/>
    <w:rsid w:val="0049526A"/>
    <w:rsid w:val="00495560"/>
    <w:rsid w:val="0049606C"/>
    <w:rsid w:val="00496A2B"/>
    <w:rsid w:val="0049748F"/>
    <w:rsid w:val="00497983"/>
    <w:rsid w:val="004A0559"/>
    <w:rsid w:val="004A0637"/>
    <w:rsid w:val="004A064E"/>
    <w:rsid w:val="004A088C"/>
    <w:rsid w:val="004A1A45"/>
    <w:rsid w:val="004A1AE7"/>
    <w:rsid w:val="004A2698"/>
    <w:rsid w:val="004A2A3B"/>
    <w:rsid w:val="004A3692"/>
    <w:rsid w:val="004A60DD"/>
    <w:rsid w:val="004A61C2"/>
    <w:rsid w:val="004A7AE4"/>
    <w:rsid w:val="004B0C53"/>
    <w:rsid w:val="004B0CEC"/>
    <w:rsid w:val="004B17E1"/>
    <w:rsid w:val="004B1AB7"/>
    <w:rsid w:val="004B205C"/>
    <w:rsid w:val="004B20C9"/>
    <w:rsid w:val="004B2DB2"/>
    <w:rsid w:val="004B5E2E"/>
    <w:rsid w:val="004B6578"/>
    <w:rsid w:val="004C0020"/>
    <w:rsid w:val="004C103F"/>
    <w:rsid w:val="004C130A"/>
    <w:rsid w:val="004C18F5"/>
    <w:rsid w:val="004C1F34"/>
    <w:rsid w:val="004C4077"/>
    <w:rsid w:val="004C416E"/>
    <w:rsid w:val="004C42B6"/>
    <w:rsid w:val="004C4AB9"/>
    <w:rsid w:val="004C4CBA"/>
    <w:rsid w:val="004C5E32"/>
    <w:rsid w:val="004C689D"/>
    <w:rsid w:val="004C7968"/>
    <w:rsid w:val="004D0122"/>
    <w:rsid w:val="004D17B5"/>
    <w:rsid w:val="004D198C"/>
    <w:rsid w:val="004D232E"/>
    <w:rsid w:val="004D34BD"/>
    <w:rsid w:val="004D4C5E"/>
    <w:rsid w:val="004D5BAD"/>
    <w:rsid w:val="004D617A"/>
    <w:rsid w:val="004D61BB"/>
    <w:rsid w:val="004D7784"/>
    <w:rsid w:val="004D7C10"/>
    <w:rsid w:val="004E041C"/>
    <w:rsid w:val="004E04BA"/>
    <w:rsid w:val="004E052F"/>
    <w:rsid w:val="004E140E"/>
    <w:rsid w:val="004E1721"/>
    <w:rsid w:val="004E44D4"/>
    <w:rsid w:val="004E53B0"/>
    <w:rsid w:val="004E5633"/>
    <w:rsid w:val="004E60DC"/>
    <w:rsid w:val="004E72C7"/>
    <w:rsid w:val="004E757B"/>
    <w:rsid w:val="004E7772"/>
    <w:rsid w:val="004F26D2"/>
    <w:rsid w:val="004F2A3D"/>
    <w:rsid w:val="004F36E1"/>
    <w:rsid w:val="004F4E79"/>
    <w:rsid w:val="004F5058"/>
    <w:rsid w:val="004F54DE"/>
    <w:rsid w:val="004F5542"/>
    <w:rsid w:val="004F6182"/>
    <w:rsid w:val="004F62B5"/>
    <w:rsid w:val="004F64EF"/>
    <w:rsid w:val="004F6C52"/>
    <w:rsid w:val="004F79C9"/>
    <w:rsid w:val="00500E6F"/>
    <w:rsid w:val="005013CA"/>
    <w:rsid w:val="00502B0B"/>
    <w:rsid w:val="0050309E"/>
    <w:rsid w:val="00504084"/>
    <w:rsid w:val="00505314"/>
    <w:rsid w:val="00505451"/>
    <w:rsid w:val="00505531"/>
    <w:rsid w:val="005058D1"/>
    <w:rsid w:val="00505E5B"/>
    <w:rsid w:val="00506244"/>
    <w:rsid w:val="005068A0"/>
    <w:rsid w:val="0050798A"/>
    <w:rsid w:val="005079EC"/>
    <w:rsid w:val="00507C82"/>
    <w:rsid w:val="00510BCA"/>
    <w:rsid w:val="00511DC0"/>
    <w:rsid w:val="00512B1A"/>
    <w:rsid w:val="00512C30"/>
    <w:rsid w:val="00514C53"/>
    <w:rsid w:val="00515978"/>
    <w:rsid w:val="00516278"/>
    <w:rsid w:val="005162A2"/>
    <w:rsid w:val="0051632E"/>
    <w:rsid w:val="00516799"/>
    <w:rsid w:val="00517D52"/>
    <w:rsid w:val="00520D98"/>
    <w:rsid w:val="005223D7"/>
    <w:rsid w:val="0052251B"/>
    <w:rsid w:val="00522E5D"/>
    <w:rsid w:val="00522EFA"/>
    <w:rsid w:val="00523013"/>
    <w:rsid w:val="00524079"/>
    <w:rsid w:val="00524233"/>
    <w:rsid w:val="00524EBC"/>
    <w:rsid w:val="0052541B"/>
    <w:rsid w:val="00525796"/>
    <w:rsid w:val="005263F0"/>
    <w:rsid w:val="00526750"/>
    <w:rsid w:val="00526FCD"/>
    <w:rsid w:val="00527204"/>
    <w:rsid w:val="00527527"/>
    <w:rsid w:val="005275C5"/>
    <w:rsid w:val="0052796F"/>
    <w:rsid w:val="00527ACB"/>
    <w:rsid w:val="00530C47"/>
    <w:rsid w:val="00530FBE"/>
    <w:rsid w:val="00531CAB"/>
    <w:rsid w:val="0053346C"/>
    <w:rsid w:val="00533876"/>
    <w:rsid w:val="00534EB8"/>
    <w:rsid w:val="00535E7A"/>
    <w:rsid w:val="005361DE"/>
    <w:rsid w:val="005376E9"/>
    <w:rsid w:val="00537B59"/>
    <w:rsid w:val="00537B6E"/>
    <w:rsid w:val="0054059E"/>
    <w:rsid w:val="00540C78"/>
    <w:rsid w:val="00541524"/>
    <w:rsid w:val="0054230F"/>
    <w:rsid w:val="00543880"/>
    <w:rsid w:val="005441D1"/>
    <w:rsid w:val="005442EB"/>
    <w:rsid w:val="00544BFC"/>
    <w:rsid w:val="0054527C"/>
    <w:rsid w:val="0054610B"/>
    <w:rsid w:val="005461A7"/>
    <w:rsid w:val="00546640"/>
    <w:rsid w:val="00547028"/>
    <w:rsid w:val="005475B7"/>
    <w:rsid w:val="00547C81"/>
    <w:rsid w:val="00547D5B"/>
    <w:rsid w:val="00551005"/>
    <w:rsid w:val="00552930"/>
    <w:rsid w:val="005529D6"/>
    <w:rsid w:val="005544D2"/>
    <w:rsid w:val="00555822"/>
    <w:rsid w:val="0055589E"/>
    <w:rsid w:val="00555C09"/>
    <w:rsid w:val="00557658"/>
    <w:rsid w:val="00557A68"/>
    <w:rsid w:val="00557D10"/>
    <w:rsid w:val="00560AA0"/>
    <w:rsid w:val="00560D11"/>
    <w:rsid w:val="00560D49"/>
    <w:rsid w:val="00561117"/>
    <w:rsid w:val="005629F9"/>
    <w:rsid w:val="00562FB0"/>
    <w:rsid w:val="00564254"/>
    <w:rsid w:val="0056696B"/>
    <w:rsid w:val="005669D3"/>
    <w:rsid w:val="00570714"/>
    <w:rsid w:val="00570A32"/>
    <w:rsid w:val="005717D7"/>
    <w:rsid w:val="00571BF9"/>
    <w:rsid w:val="0057252B"/>
    <w:rsid w:val="005740F2"/>
    <w:rsid w:val="00574791"/>
    <w:rsid w:val="00574E5C"/>
    <w:rsid w:val="00575619"/>
    <w:rsid w:val="00575952"/>
    <w:rsid w:val="00576E90"/>
    <w:rsid w:val="00577230"/>
    <w:rsid w:val="00577DFD"/>
    <w:rsid w:val="00580FED"/>
    <w:rsid w:val="00581600"/>
    <w:rsid w:val="0058248B"/>
    <w:rsid w:val="00583D75"/>
    <w:rsid w:val="0058405E"/>
    <w:rsid w:val="0058472D"/>
    <w:rsid w:val="00584886"/>
    <w:rsid w:val="0058656F"/>
    <w:rsid w:val="005912D9"/>
    <w:rsid w:val="0059153C"/>
    <w:rsid w:val="005915F3"/>
    <w:rsid w:val="0059221F"/>
    <w:rsid w:val="00592A21"/>
    <w:rsid w:val="00594EAA"/>
    <w:rsid w:val="00595D10"/>
    <w:rsid w:val="00595EC8"/>
    <w:rsid w:val="00596975"/>
    <w:rsid w:val="00596BD1"/>
    <w:rsid w:val="0059799E"/>
    <w:rsid w:val="00597C01"/>
    <w:rsid w:val="00597E8A"/>
    <w:rsid w:val="005A0E14"/>
    <w:rsid w:val="005A0F66"/>
    <w:rsid w:val="005A14F2"/>
    <w:rsid w:val="005A1751"/>
    <w:rsid w:val="005A1B98"/>
    <w:rsid w:val="005A1DA3"/>
    <w:rsid w:val="005A2264"/>
    <w:rsid w:val="005A2649"/>
    <w:rsid w:val="005A29E8"/>
    <w:rsid w:val="005A3244"/>
    <w:rsid w:val="005A3692"/>
    <w:rsid w:val="005A50C3"/>
    <w:rsid w:val="005A5863"/>
    <w:rsid w:val="005A5FE9"/>
    <w:rsid w:val="005A6550"/>
    <w:rsid w:val="005A6D62"/>
    <w:rsid w:val="005A783C"/>
    <w:rsid w:val="005A78E8"/>
    <w:rsid w:val="005B00CF"/>
    <w:rsid w:val="005B0D39"/>
    <w:rsid w:val="005B18DE"/>
    <w:rsid w:val="005B1CCD"/>
    <w:rsid w:val="005B3657"/>
    <w:rsid w:val="005B4A77"/>
    <w:rsid w:val="005B4DD4"/>
    <w:rsid w:val="005B4F7D"/>
    <w:rsid w:val="005B6D7D"/>
    <w:rsid w:val="005C069D"/>
    <w:rsid w:val="005C084E"/>
    <w:rsid w:val="005C1A32"/>
    <w:rsid w:val="005C1C28"/>
    <w:rsid w:val="005C262D"/>
    <w:rsid w:val="005C263D"/>
    <w:rsid w:val="005C3759"/>
    <w:rsid w:val="005C3945"/>
    <w:rsid w:val="005C4C32"/>
    <w:rsid w:val="005C505C"/>
    <w:rsid w:val="005C79FC"/>
    <w:rsid w:val="005D0F32"/>
    <w:rsid w:val="005D1D68"/>
    <w:rsid w:val="005D207A"/>
    <w:rsid w:val="005D3A48"/>
    <w:rsid w:val="005D3E53"/>
    <w:rsid w:val="005D47BC"/>
    <w:rsid w:val="005D5CE8"/>
    <w:rsid w:val="005D60F7"/>
    <w:rsid w:val="005D70A6"/>
    <w:rsid w:val="005D73F4"/>
    <w:rsid w:val="005E25E1"/>
    <w:rsid w:val="005E4161"/>
    <w:rsid w:val="005E52F7"/>
    <w:rsid w:val="005E6842"/>
    <w:rsid w:val="005E68EB"/>
    <w:rsid w:val="005F0CA5"/>
    <w:rsid w:val="005F14A8"/>
    <w:rsid w:val="005F1A8A"/>
    <w:rsid w:val="005F23A3"/>
    <w:rsid w:val="005F23FF"/>
    <w:rsid w:val="005F2AC5"/>
    <w:rsid w:val="005F315A"/>
    <w:rsid w:val="005F47A8"/>
    <w:rsid w:val="005F5127"/>
    <w:rsid w:val="005F5A03"/>
    <w:rsid w:val="005F69A1"/>
    <w:rsid w:val="005F75F4"/>
    <w:rsid w:val="00600492"/>
    <w:rsid w:val="00600BF7"/>
    <w:rsid w:val="00601E84"/>
    <w:rsid w:val="006032C1"/>
    <w:rsid w:val="00603444"/>
    <w:rsid w:val="00605210"/>
    <w:rsid w:val="00605832"/>
    <w:rsid w:val="00607F9F"/>
    <w:rsid w:val="0061492C"/>
    <w:rsid w:val="00614AFB"/>
    <w:rsid w:val="00616A79"/>
    <w:rsid w:val="00616D0A"/>
    <w:rsid w:val="006205A4"/>
    <w:rsid w:val="00621458"/>
    <w:rsid w:val="00621ECA"/>
    <w:rsid w:val="0062355B"/>
    <w:rsid w:val="00626296"/>
    <w:rsid w:val="0062679F"/>
    <w:rsid w:val="00626CFB"/>
    <w:rsid w:val="00630176"/>
    <w:rsid w:val="00630DB7"/>
    <w:rsid w:val="006329A4"/>
    <w:rsid w:val="00632D65"/>
    <w:rsid w:val="0063411B"/>
    <w:rsid w:val="00634439"/>
    <w:rsid w:val="00635A23"/>
    <w:rsid w:val="00636258"/>
    <w:rsid w:val="0063630F"/>
    <w:rsid w:val="00636965"/>
    <w:rsid w:val="006372C4"/>
    <w:rsid w:val="006379C0"/>
    <w:rsid w:val="00641755"/>
    <w:rsid w:val="006429C6"/>
    <w:rsid w:val="00642AC8"/>
    <w:rsid w:val="006438F2"/>
    <w:rsid w:val="00644B8E"/>
    <w:rsid w:val="00645210"/>
    <w:rsid w:val="00645E46"/>
    <w:rsid w:val="0064622E"/>
    <w:rsid w:val="006509D7"/>
    <w:rsid w:val="00651AD6"/>
    <w:rsid w:val="006522DF"/>
    <w:rsid w:val="00652BD9"/>
    <w:rsid w:val="00652D3B"/>
    <w:rsid w:val="00653169"/>
    <w:rsid w:val="00653493"/>
    <w:rsid w:val="0065423F"/>
    <w:rsid w:val="00655112"/>
    <w:rsid w:val="00655B75"/>
    <w:rsid w:val="006564F3"/>
    <w:rsid w:val="00656770"/>
    <w:rsid w:val="006574B9"/>
    <w:rsid w:val="006607FC"/>
    <w:rsid w:val="00661249"/>
    <w:rsid w:val="006612F1"/>
    <w:rsid w:val="00661DCF"/>
    <w:rsid w:val="0066275A"/>
    <w:rsid w:val="00662BB0"/>
    <w:rsid w:val="0066307A"/>
    <w:rsid w:val="0066364C"/>
    <w:rsid w:val="006644F6"/>
    <w:rsid w:val="006646C2"/>
    <w:rsid w:val="006656D0"/>
    <w:rsid w:val="00666AD3"/>
    <w:rsid w:val="00666C6B"/>
    <w:rsid w:val="00667FE5"/>
    <w:rsid w:val="00670740"/>
    <w:rsid w:val="00670AEB"/>
    <w:rsid w:val="00671D93"/>
    <w:rsid w:val="006722BB"/>
    <w:rsid w:val="006725D2"/>
    <w:rsid w:val="00672A02"/>
    <w:rsid w:val="00672FE1"/>
    <w:rsid w:val="006800A8"/>
    <w:rsid w:val="006802B5"/>
    <w:rsid w:val="00681E18"/>
    <w:rsid w:val="00681F52"/>
    <w:rsid w:val="00683222"/>
    <w:rsid w:val="006835AA"/>
    <w:rsid w:val="00683AC0"/>
    <w:rsid w:val="00685ED1"/>
    <w:rsid w:val="00685F7E"/>
    <w:rsid w:val="00686732"/>
    <w:rsid w:val="006867F6"/>
    <w:rsid w:val="00686CD1"/>
    <w:rsid w:val="0069129F"/>
    <w:rsid w:val="00691D4D"/>
    <w:rsid w:val="00692009"/>
    <w:rsid w:val="006924EB"/>
    <w:rsid w:val="00693DCB"/>
    <w:rsid w:val="00694994"/>
    <w:rsid w:val="00694CD2"/>
    <w:rsid w:val="006956BA"/>
    <w:rsid w:val="006957F9"/>
    <w:rsid w:val="00695C26"/>
    <w:rsid w:val="006962B0"/>
    <w:rsid w:val="00697175"/>
    <w:rsid w:val="00697F20"/>
    <w:rsid w:val="006A139C"/>
    <w:rsid w:val="006A16E4"/>
    <w:rsid w:val="006A3490"/>
    <w:rsid w:val="006A3E6D"/>
    <w:rsid w:val="006A48F3"/>
    <w:rsid w:val="006A6068"/>
    <w:rsid w:val="006A744F"/>
    <w:rsid w:val="006B0647"/>
    <w:rsid w:val="006B0658"/>
    <w:rsid w:val="006B0B99"/>
    <w:rsid w:val="006B1530"/>
    <w:rsid w:val="006B1BC5"/>
    <w:rsid w:val="006B1EDA"/>
    <w:rsid w:val="006B29D4"/>
    <w:rsid w:val="006B2DB3"/>
    <w:rsid w:val="006B305E"/>
    <w:rsid w:val="006B30B4"/>
    <w:rsid w:val="006B31CA"/>
    <w:rsid w:val="006B3950"/>
    <w:rsid w:val="006B4E85"/>
    <w:rsid w:val="006B511E"/>
    <w:rsid w:val="006B5D85"/>
    <w:rsid w:val="006B663F"/>
    <w:rsid w:val="006B666F"/>
    <w:rsid w:val="006B76A2"/>
    <w:rsid w:val="006B7854"/>
    <w:rsid w:val="006B7872"/>
    <w:rsid w:val="006C07E3"/>
    <w:rsid w:val="006C16BC"/>
    <w:rsid w:val="006C2BA2"/>
    <w:rsid w:val="006C4434"/>
    <w:rsid w:val="006C4631"/>
    <w:rsid w:val="006C53AB"/>
    <w:rsid w:val="006C555F"/>
    <w:rsid w:val="006C5758"/>
    <w:rsid w:val="006C5B20"/>
    <w:rsid w:val="006C5D31"/>
    <w:rsid w:val="006C705D"/>
    <w:rsid w:val="006C7320"/>
    <w:rsid w:val="006C7A24"/>
    <w:rsid w:val="006D050C"/>
    <w:rsid w:val="006D09AB"/>
    <w:rsid w:val="006D0CB0"/>
    <w:rsid w:val="006D10F6"/>
    <w:rsid w:val="006D1915"/>
    <w:rsid w:val="006D1CA7"/>
    <w:rsid w:val="006D2B49"/>
    <w:rsid w:val="006D5103"/>
    <w:rsid w:val="006D541B"/>
    <w:rsid w:val="006D7554"/>
    <w:rsid w:val="006D7EC6"/>
    <w:rsid w:val="006E07EC"/>
    <w:rsid w:val="006E13CF"/>
    <w:rsid w:val="006E1A4E"/>
    <w:rsid w:val="006E1BF6"/>
    <w:rsid w:val="006E1DEF"/>
    <w:rsid w:val="006E1E29"/>
    <w:rsid w:val="006E208B"/>
    <w:rsid w:val="006E26D1"/>
    <w:rsid w:val="006E26E7"/>
    <w:rsid w:val="006E3C1D"/>
    <w:rsid w:val="006E42A4"/>
    <w:rsid w:val="006E4529"/>
    <w:rsid w:val="006E59D5"/>
    <w:rsid w:val="006E5BB6"/>
    <w:rsid w:val="006E631D"/>
    <w:rsid w:val="006E64F0"/>
    <w:rsid w:val="006E6FD6"/>
    <w:rsid w:val="006E7390"/>
    <w:rsid w:val="006E7C67"/>
    <w:rsid w:val="006F0252"/>
    <w:rsid w:val="006F13CB"/>
    <w:rsid w:val="006F1BDC"/>
    <w:rsid w:val="006F2397"/>
    <w:rsid w:val="006F4FC4"/>
    <w:rsid w:val="006F52F0"/>
    <w:rsid w:val="006F5B8D"/>
    <w:rsid w:val="006F5C4A"/>
    <w:rsid w:val="006F7B85"/>
    <w:rsid w:val="006F7BC4"/>
    <w:rsid w:val="00700875"/>
    <w:rsid w:val="00700D74"/>
    <w:rsid w:val="007018D4"/>
    <w:rsid w:val="00701DA0"/>
    <w:rsid w:val="007038EF"/>
    <w:rsid w:val="00704A84"/>
    <w:rsid w:val="007051BF"/>
    <w:rsid w:val="0070533C"/>
    <w:rsid w:val="00705A27"/>
    <w:rsid w:val="007064EA"/>
    <w:rsid w:val="00707193"/>
    <w:rsid w:val="0070749A"/>
    <w:rsid w:val="00707993"/>
    <w:rsid w:val="00711986"/>
    <w:rsid w:val="00713633"/>
    <w:rsid w:val="00715416"/>
    <w:rsid w:val="00716AF6"/>
    <w:rsid w:val="00716C06"/>
    <w:rsid w:val="00716D26"/>
    <w:rsid w:val="00716D56"/>
    <w:rsid w:val="00716FAC"/>
    <w:rsid w:val="00717380"/>
    <w:rsid w:val="00721008"/>
    <w:rsid w:val="00721C8D"/>
    <w:rsid w:val="007221F7"/>
    <w:rsid w:val="007224F5"/>
    <w:rsid w:val="00722EA2"/>
    <w:rsid w:val="00723BBC"/>
    <w:rsid w:val="0072401F"/>
    <w:rsid w:val="00724677"/>
    <w:rsid w:val="00725042"/>
    <w:rsid w:val="0072519D"/>
    <w:rsid w:val="0072637B"/>
    <w:rsid w:val="00726538"/>
    <w:rsid w:val="0072704D"/>
    <w:rsid w:val="007270B5"/>
    <w:rsid w:val="0072710F"/>
    <w:rsid w:val="007275FE"/>
    <w:rsid w:val="00730300"/>
    <w:rsid w:val="00730419"/>
    <w:rsid w:val="00731253"/>
    <w:rsid w:val="00731C64"/>
    <w:rsid w:val="00734870"/>
    <w:rsid w:val="00734A70"/>
    <w:rsid w:val="00735051"/>
    <w:rsid w:val="0073626A"/>
    <w:rsid w:val="007362F8"/>
    <w:rsid w:val="00740854"/>
    <w:rsid w:val="00742807"/>
    <w:rsid w:val="0074335C"/>
    <w:rsid w:val="00743B38"/>
    <w:rsid w:val="007452D6"/>
    <w:rsid w:val="0074668D"/>
    <w:rsid w:val="00750CE1"/>
    <w:rsid w:val="00751D19"/>
    <w:rsid w:val="007524AB"/>
    <w:rsid w:val="007555FB"/>
    <w:rsid w:val="00755C3C"/>
    <w:rsid w:val="007602CA"/>
    <w:rsid w:val="0076078F"/>
    <w:rsid w:val="00763248"/>
    <w:rsid w:val="00763642"/>
    <w:rsid w:val="007642CB"/>
    <w:rsid w:val="00764982"/>
    <w:rsid w:val="007659F9"/>
    <w:rsid w:val="00766292"/>
    <w:rsid w:val="00767046"/>
    <w:rsid w:val="00767731"/>
    <w:rsid w:val="0077192C"/>
    <w:rsid w:val="00771BC9"/>
    <w:rsid w:val="00771D2E"/>
    <w:rsid w:val="00772645"/>
    <w:rsid w:val="007750C7"/>
    <w:rsid w:val="007751D6"/>
    <w:rsid w:val="00775869"/>
    <w:rsid w:val="00776169"/>
    <w:rsid w:val="00776747"/>
    <w:rsid w:val="00776D81"/>
    <w:rsid w:val="00776EB4"/>
    <w:rsid w:val="00777481"/>
    <w:rsid w:val="00780029"/>
    <w:rsid w:val="007815F9"/>
    <w:rsid w:val="00783EC3"/>
    <w:rsid w:val="00784E46"/>
    <w:rsid w:val="0078511F"/>
    <w:rsid w:val="00786A87"/>
    <w:rsid w:val="00786ABB"/>
    <w:rsid w:val="00790ADA"/>
    <w:rsid w:val="00790BEB"/>
    <w:rsid w:val="00791374"/>
    <w:rsid w:val="007921CB"/>
    <w:rsid w:val="00792C42"/>
    <w:rsid w:val="007940CB"/>
    <w:rsid w:val="00794AA2"/>
    <w:rsid w:val="00795CF3"/>
    <w:rsid w:val="00796FED"/>
    <w:rsid w:val="0079746F"/>
    <w:rsid w:val="007978F4"/>
    <w:rsid w:val="007A0975"/>
    <w:rsid w:val="007A231D"/>
    <w:rsid w:val="007A25CB"/>
    <w:rsid w:val="007A271A"/>
    <w:rsid w:val="007A2EB6"/>
    <w:rsid w:val="007A30AC"/>
    <w:rsid w:val="007A3529"/>
    <w:rsid w:val="007A3799"/>
    <w:rsid w:val="007A3D64"/>
    <w:rsid w:val="007A3E5C"/>
    <w:rsid w:val="007A43A7"/>
    <w:rsid w:val="007A46AE"/>
    <w:rsid w:val="007A46E1"/>
    <w:rsid w:val="007A495A"/>
    <w:rsid w:val="007A4EEA"/>
    <w:rsid w:val="007A54C1"/>
    <w:rsid w:val="007A557A"/>
    <w:rsid w:val="007A64C0"/>
    <w:rsid w:val="007A67A9"/>
    <w:rsid w:val="007A7031"/>
    <w:rsid w:val="007B0DAC"/>
    <w:rsid w:val="007B1234"/>
    <w:rsid w:val="007B17F8"/>
    <w:rsid w:val="007B28BD"/>
    <w:rsid w:val="007B3897"/>
    <w:rsid w:val="007B5E23"/>
    <w:rsid w:val="007B7B32"/>
    <w:rsid w:val="007C007E"/>
    <w:rsid w:val="007C0262"/>
    <w:rsid w:val="007C06D5"/>
    <w:rsid w:val="007C0E59"/>
    <w:rsid w:val="007C16C9"/>
    <w:rsid w:val="007C259E"/>
    <w:rsid w:val="007C33F4"/>
    <w:rsid w:val="007C3DF2"/>
    <w:rsid w:val="007C47AC"/>
    <w:rsid w:val="007C49DB"/>
    <w:rsid w:val="007C539D"/>
    <w:rsid w:val="007C5A7D"/>
    <w:rsid w:val="007C68DA"/>
    <w:rsid w:val="007C7F2F"/>
    <w:rsid w:val="007D0373"/>
    <w:rsid w:val="007D120E"/>
    <w:rsid w:val="007D141A"/>
    <w:rsid w:val="007D283A"/>
    <w:rsid w:val="007D33EE"/>
    <w:rsid w:val="007D3994"/>
    <w:rsid w:val="007D3AD7"/>
    <w:rsid w:val="007D440D"/>
    <w:rsid w:val="007D493C"/>
    <w:rsid w:val="007D5AE9"/>
    <w:rsid w:val="007D610F"/>
    <w:rsid w:val="007D6BD8"/>
    <w:rsid w:val="007D7CA0"/>
    <w:rsid w:val="007E0053"/>
    <w:rsid w:val="007E03C5"/>
    <w:rsid w:val="007E0F04"/>
    <w:rsid w:val="007E0F84"/>
    <w:rsid w:val="007E2BB7"/>
    <w:rsid w:val="007E2E2E"/>
    <w:rsid w:val="007E51AE"/>
    <w:rsid w:val="007E5926"/>
    <w:rsid w:val="007E6594"/>
    <w:rsid w:val="007E6917"/>
    <w:rsid w:val="007E7BC8"/>
    <w:rsid w:val="007E7C18"/>
    <w:rsid w:val="007F030C"/>
    <w:rsid w:val="007F0CCA"/>
    <w:rsid w:val="007F1048"/>
    <w:rsid w:val="007F1688"/>
    <w:rsid w:val="007F1BBA"/>
    <w:rsid w:val="007F23DF"/>
    <w:rsid w:val="007F35E8"/>
    <w:rsid w:val="007F366B"/>
    <w:rsid w:val="007F3DBB"/>
    <w:rsid w:val="007F3F99"/>
    <w:rsid w:val="007F3FBD"/>
    <w:rsid w:val="007F43AE"/>
    <w:rsid w:val="007F474F"/>
    <w:rsid w:val="007F4C75"/>
    <w:rsid w:val="007F6025"/>
    <w:rsid w:val="007F6101"/>
    <w:rsid w:val="007F677C"/>
    <w:rsid w:val="007F6BC8"/>
    <w:rsid w:val="007F71EE"/>
    <w:rsid w:val="008000DF"/>
    <w:rsid w:val="00800C5A"/>
    <w:rsid w:val="00801BED"/>
    <w:rsid w:val="00802890"/>
    <w:rsid w:val="00803385"/>
    <w:rsid w:val="008038B1"/>
    <w:rsid w:val="00804C61"/>
    <w:rsid w:val="00805530"/>
    <w:rsid w:val="00806DA3"/>
    <w:rsid w:val="00807789"/>
    <w:rsid w:val="00810881"/>
    <w:rsid w:val="0081095C"/>
    <w:rsid w:val="00810E2F"/>
    <w:rsid w:val="00812F2B"/>
    <w:rsid w:val="00813510"/>
    <w:rsid w:val="0081410C"/>
    <w:rsid w:val="00814A41"/>
    <w:rsid w:val="00814B95"/>
    <w:rsid w:val="008157A9"/>
    <w:rsid w:val="008163D2"/>
    <w:rsid w:val="008164D9"/>
    <w:rsid w:val="008166A3"/>
    <w:rsid w:val="00816E8C"/>
    <w:rsid w:val="00820609"/>
    <w:rsid w:val="008206A8"/>
    <w:rsid w:val="008206EF"/>
    <w:rsid w:val="00820EDD"/>
    <w:rsid w:val="00821093"/>
    <w:rsid w:val="008217BE"/>
    <w:rsid w:val="00821975"/>
    <w:rsid w:val="00822499"/>
    <w:rsid w:val="00822CA0"/>
    <w:rsid w:val="0082384F"/>
    <w:rsid w:val="008238DF"/>
    <w:rsid w:val="00823B1B"/>
    <w:rsid w:val="00825511"/>
    <w:rsid w:val="0082560B"/>
    <w:rsid w:val="008276CC"/>
    <w:rsid w:val="0083073F"/>
    <w:rsid w:val="00830875"/>
    <w:rsid w:val="00831A81"/>
    <w:rsid w:val="00832856"/>
    <w:rsid w:val="00833F0D"/>
    <w:rsid w:val="00837B2A"/>
    <w:rsid w:val="00837DF1"/>
    <w:rsid w:val="00837F34"/>
    <w:rsid w:val="00840781"/>
    <w:rsid w:val="00840D64"/>
    <w:rsid w:val="0084138B"/>
    <w:rsid w:val="008434B7"/>
    <w:rsid w:val="00843DC0"/>
    <w:rsid w:val="00843E6F"/>
    <w:rsid w:val="008449EC"/>
    <w:rsid w:val="00844FFD"/>
    <w:rsid w:val="00845B4A"/>
    <w:rsid w:val="00846B8E"/>
    <w:rsid w:val="00847803"/>
    <w:rsid w:val="008510DC"/>
    <w:rsid w:val="00851295"/>
    <w:rsid w:val="008513B3"/>
    <w:rsid w:val="00851460"/>
    <w:rsid w:val="008518C5"/>
    <w:rsid w:val="00851A69"/>
    <w:rsid w:val="008523D7"/>
    <w:rsid w:val="00853C6F"/>
    <w:rsid w:val="00853D82"/>
    <w:rsid w:val="0085488C"/>
    <w:rsid w:val="0085519F"/>
    <w:rsid w:val="008559E3"/>
    <w:rsid w:val="00855B88"/>
    <w:rsid w:val="0085628F"/>
    <w:rsid w:val="00856563"/>
    <w:rsid w:val="008567F5"/>
    <w:rsid w:val="00857026"/>
    <w:rsid w:val="00857765"/>
    <w:rsid w:val="00857DF8"/>
    <w:rsid w:val="00857E1C"/>
    <w:rsid w:val="00857FAD"/>
    <w:rsid w:val="00861334"/>
    <w:rsid w:val="00863061"/>
    <w:rsid w:val="008634C6"/>
    <w:rsid w:val="00863A96"/>
    <w:rsid w:val="00864A97"/>
    <w:rsid w:val="00865134"/>
    <w:rsid w:val="00865296"/>
    <w:rsid w:val="00865580"/>
    <w:rsid w:val="008669D3"/>
    <w:rsid w:val="00866DB9"/>
    <w:rsid w:val="0086752A"/>
    <w:rsid w:val="0086788B"/>
    <w:rsid w:val="00870991"/>
    <w:rsid w:val="008725D6"/>
    <w:rsid w:val="008726CE"/>
    <w:rsid w:val="00872857"/>
    <w:rsid w:val="0087347C"/>
    <w:rsid w:val="00874DC2"/>
    <w:rsid w:val="00876258"/>
    <w:rsid w:val="00876F97"/>
    <w:rsid w:val="008810A0"/>
    <w:rsid w:val="008810CC"/>
    <w:rsid w:val="0088184A"/>
    <w:rsid w:val="008821BA"/>
    <w:rsid w:val="00882299"/>
    <w:rsid w:val="008822D1"/>
    <w:rsid w:val="008838D0"/>
    <w:rsid w:val="00884271"/>
    <w:rsid w:val="00885211"/>
    <w:rsid w:val="00885808"/>
    <w:rsid w:val="008859D3"/>
    <w:rsid w:val="00885FB0"/>
    <w:rsid w:val="00887525"/>
    <w:rsid w:val="00892950"/>
    <w:rsid w:val="00892ABD"/>
    <w:rsid w:val="00895576"/>
    <w:rsid w:val="008960D5"/>
    <w:rsid w:val="00896C2F"/>
    <w:rsid w:val="00897136"/>
    <w:rsid w:val="008A1518"/>
    <w:rsid w:val="008A1E19"/>
    <w:rsid w:val="008A2C89"/>
    <w:rsid w:val="008A2E60"/>
    <w:rsid w:val="008A3CB2"/>
    <w:rsid w:val="008A42F4"/>
    <w:rsid w:val="008A4D1E"/>
    <w:rsid w:val="008A6A75"/>
    <w:rsid w:val="008A6F81"/>
    <w:rsid w:val="008A7275"/>
    <w:rsid w:val="008A7732"/>
    <w:rsid w:val="008A7EB7"/>
    <w:rsid w:val="008B02B9"/>
    <w:rsid w:val="008B0B10"/>
    <w:rsid w:val="008B0F36"/>
    <w:rsid w:val="008B25C9"/>
    <w:rsid w:val="008B41FF"/>
    <w:rsid w:val="008B46FE"/>
    <w:rsid w:val="008B47FA"/>
    <w:rsid w:val="008B5B65"/>
    <w:rsid w:val="008B62A8"/>
    <w:rsid w:val="008B6921"/>
    <w:rsid w:val="008B6E41"/>
    <w:rsid w:val="008B6E98"/>
    <w:rsid w:val="008C0267"/>
    <w:rsid w:val="008C0BAD"/>
    <w:rsid w:val="008C10D6"/>
    <w:rsid w:val="008C1325"/>
    <w:rsid w:val="008C1C77"/>
    <w:rsid w:val="008C2996"/>
    <w:rsid w:val="008C2C83"/>
    <w:rsid w:val="008C34FE"/>
    <w:rsid w:val="008C3692"/>
    <w:rsid w:val="008C3983"/>
    <w:rsid w:val="008C3F9B"/>
    <w:rsid w:val="008C400B"/>
    <w:rsid w:val="008C5371"/>
    <w:rsid w:val="008C5521"/>
    <w:rsid w:val="008C5F38"/>
    <w:rsid w:val="008C678C"/>
    <w:rsid w:val="008D0798"/>
    <w:rsid w:val="008D0A11"/>
    <w:rsid w:val="008D0D2F"/>
    <w:rsid w:val="008D15DF"/>
    <w:rsid w:val="008D16B1"/>
    <w:rsid w:val="008D2BA8"/>
    <w:rsid w:val="008D333F"/>
    <w:rsid w:val="008D430C"/>
    <w:rsid w:val="008D4E7E"/>
    <w:rsid w:val="008D4FE7"/>
    <w:rsid w:val="008D674C"/>
    <w:rsid w:val="008D693B"/>
    <w:rsid w:val="008D7182"/>
    <w:rsid w:val="008D7286"/>
    <w:rsid w:val="008E0ED6"/>
    <w:rsid w:val="008E146C"/>
    <w:rsid w:val="008E1F1F"/>
    <w:rsid w:val="008E23BF"/>
    <w:rsid w:val="008E2DE5"/>
    <w:rsid w:val="008E2E63"/>
    <w:rsid w:val="008E338D"/>
    <w:rsid w:val="008E43DB"/>
    <w:rsid w:val="008E4510"/>
    <w:rsid w:val="008E4645"/>
    <w:rsid w:val="008E4BB0"/>
    <w:rsid w:val="008E5DF4"/>
    <w:rsid w:val="008E62BD"/>
    <w:rsid w:val="008E6EB5"/>
    <w:rsid w:val="008E6F93"/>
    <w:rsid w:val="008E72AA"/>
    <w:rsid w:val="008E7C44"/>
    <w:rsid w:val="008F0119"/>
    <w:rsid w:val="008F1871"/>
    <w:rsid w:val="008F1D07"/>
    <w:rsid w:val="008F3084"/>
    <w:rsid w:val="00900E4A"/>
    <w:rsid w:val="00901B0D"/>
    <w:rsid w:val="00901B4D"/>
    <w:rsid w:val="00903A20"/>
    <w:rsid w:val="009046E4"/>
    <w:rsid w:val="0090528B"/>
    <w:rsid w:val="009059DB"/>
    <w:rsid w:val="00906062"/>
    <w:rsid w:val="00906155"/>
    <w:rsid w:val="009068F8"/>
    <w:rsid w:val="00910849"/>
    <w:rsid w:val="00910D01"/>
    <w:rsid w:val="00914309"/>
    <w:rsid w:val="009143ED"/>
    <w:rsid w:val="00914DBE"/>
    <w:rsid w:val="009159E3"/>
    <w:rsid w:val="00915F5A"/>
    <w:rsid w:val="009160F9"/>
    <w:rsid w:val="00916D6A"/>
    <w:rsid w:val="00917052"/>
    <w:rsid w:val="0091723E"/>
    <w:rsid w:val="00917645"/>
    <w:rsid w:val="009177F2"/>
    <w:rsid w:val="009202D0"/>
    <w:rsid w:val="00921568"/>
    <w:rsid w:val="00921851"/>
    <w:rsid w:val="009221AF"/>
    <w:rsid w:val="00923B80"/>
    <w:rsid w:val="00924A6E"/>
    <w:rsid w:val="00924AF7"/>
    <w:rsid w:val="0092549D"/>
    <w:rsid w:val="00925784"/>
    <w:rsid w:val="00926495"/>
    <w:rsid w:val="009267B9"/>
    <w:rsid w:val="00926A52"/>
    <w:rsid w:val="00926C49"/>
    <w:rsid w:val="0092799F"/>
    <w:rsid w:val="009305D4"/>
    <w:rsid w:val="00930765"/>
    <w:rsid w:val="00934117"/>
    <w:rsid w:val="00934914"/>
    <w:rsid w:val="00934D25"/>
    <w:rsid w:val="00935611"/>
    <w:rsid w:val="009375EB"/>
    <w:rsid w:val="009407EA"/>
    <w:rsid w:val="009410EE"/>
    <w:rsid w:val="00941213"/>
    <w:rsid w:val="00941DBF"/>
    <w:rsid w:val="00944AD0"/>
    <w:rsid w:val="00945074"/>
    <w:rsid w:val="00945698"/>
    <w:rsid w:val="00945722"/>
    <w:rsid w:val="00945900"/>
    <w:rsid w:val="00945C44"/>
    <w:rsid w:val="00946A70"/>
    <w:rsid w:val="00947AA4"/>
    <w:rsid w:val="00947D92"/>
    <w:rsid w:val="009508DE"/>
    <w:rsid w:val="00950C31"/>
    <w:rsid w:val="00951CB9"/>
    <w:rsid w:val="00952101"/>
    <w:rsid w:val="00952C5F"/>
    <w:rsid w:val="0095331B"/>
    <w:rsid w:val="00953912"/>
    <w:rsid w:val="00953E81"/>
    <w:rsid w:val="00954740"/>
    <w:rsid w:val="00954E92"/>
    <w:rsid w:val="00955CA7"/>
    <w:rsid w:val="00956009"/>
    <w:rsid w:val="0095747C"/>
    <w:rsid w:val="009575B8"/>
    <w:rsid w:val="00957918"/>
    <w:rsid w:val="009603E8"/>
    <w:rsid w:val="00960857"/>
    <w:rsid w:val="00960A95"/>
    <w:rsid w:val="00960B1C"/>
    <w:rsid w:val="009610B1"/>
    <w:rsid w:val="00961ED8"/>
    <w:rsid w:val="00962004"/>
    <w:rsid w:val="0096282B"/>
    <w:rsid w:val="00962969"/>
    <w:rsid w:val="00962DFE"/>
    <w:rsid w:val="00963EFC"/>
    <w:rsid w:val="009649C1"/>
    <w:rsid w:val="00964DEA"/>
    <w:rsid w:val="00965D0C"/>
    <w:rsid w:val="00966853"/>
    <w:rsid w:val="00966E25"/>
    <w:rsid w:val="0096729A"/>
    <w:rsid w:val="00967C4D"/>
    <w:rsid w:val="00970D85"/>
    <w:rsid w:val="0097196D"/>
    <w:rsid w:val="00972025"/>
    <w:rsid w:val="0097243E"/>
    <w:rsid w:val="00972B3A"/>
    <w:rsid w:val="0097349F"/>
    <w:rsid w:val="00975725"/>
    <w:rsid w:val="00976471"/>
    <w:rsid w:val="00977D51"/>
    <w:rsid w:val="009805A8"/>
    <w:rsid w:val="00980E38"/>
    <w:rsid w:val="00981008"/>
    <w:rsid w:val="0098120D"/>
    <w:rsid w:val="0098130C"/>
    <w:rsid w:val="00981347"/>
    <w:rsid w:val="009822BB"/>
    <w:rsid w:val="0098276C"/>
    <w:rsid w:val="00982F06"/>
    <w:rsid w:val="0098305C"/>
    <w:rsid w:val="0098489E"/>
    <w:rsid w:val="00984C9E"/>
    <w:rsid w:val="00985503"/>
    <w:rsid w:val="00985583"/>
    <w:rsid w:val="00985B0F"/>
    <w:rsid w:val="00986D1E"/>
    <w:rsid w:val="009875AC"/>
    <w:rsid w:val="009876A0"/>
    <w:rsid w:val="00987742"/>
    <w:rsid w:val="009904B4"/>
    <w:rsid w:val="00990E42"/>
    <w:rsid w:val="00991799"/>
    <w:rsid w:val="009921A1"/>
    <w:rsid w:val="009936A5"/>
    <w:rsid w:val="00993703"/>
    <w:rsid w:val="00993943"/>
    <w:rsid w:val="00993B8F"/>
    <w:rsid w:val="00994994"/>
    <w:rsid w:val="00994B32"/>
    <w:rsid w:val="009950ED"/>
    <w:rsid w:val="009951E9"/>
    <w:rsid w:val="0099523F"/>
    <w:rsid w:val="009A05EA"/>
    <w:rsid w:val="009A067E"/>
    <w:rsid w:val="009A08BB"/>
    <w:rsid w:val="009A433E"/>
    <w:rsid w:val="009A48C2"/>
    <w:rsid w:val="009A4D08"/>
    <w:rsid w:val="009A559C"/>
    <w:rsid w:val="009A6489"/>
    <w:rsid w:val="009B00B9"/>
    <w:rsid w:val="009B0D31"/>
    <w:rsid w:val="009B0D51"/>
    <w:rsid w:val="009B12A6"/>
    <w:rsid w:val="009B1AF1"/>
    <w:rsid w:val="009B1B29"/>
    <w:rsid w:val="009B1E59"/>
    <w:rsid w:val="009B2BC1"/>
    <w:rsid w:val="009B577D"/>
    <w:rsid w:val="009B609E"/>
    <w:rsid w:val="009B6D58"/>
    <w:rsid w:val="009B6DEE"/>
    <w:rsid w:val="009B7A5B"/>
    <w:rsid w:val="009C1250"/>
    <w:rsid w:val="009C12C5"/>
    <w:rsid w:val="009C15D7"/>
    <w:rsid w:val="009C2129"/>
    <w:rsid w:val="009C2943"/>
    <w:rsid w:val="009C55BA"/>
    <w:rsid w:val="009C6192"/>
    <w:rsid w:val="009C67AE"/>
    <w:rsid w:val="009C6E30"/>
    <w:rsid w:val="009C6FA1"/>
    <w:rsid w:val="009C7D2B"/>
    <w:rsid w:val="009D0F63"/>
    <w:rsid w:val="009D108F"/>
    <w:rsid w:val="009D132E"/>
    <w:rsid w:val="009D1583"/>
    <w:rsid w:val="009D1801"/>
    <w:rsid w:val="009D5373"/>
    <w:rsid w:val="009D54C7"/>
    <w:rsid w:val="009D5CDC"/>
    <w:rsid w:val="009D63EA"/>
    <w:rsid w:val="009D659F"/>
    <w:rsid w:val="009E0418"/>
    <w:rsid w:val="009E0790"/>
    <w:rsid w:val="009E1548"/>
    <w:rsid w:val="009E1B8D"/>
    <w:rsid w:val="009E4685"/>
    <w:rsid w:val="009E4990"/>
    <w:rsid w:val="009E65AE"/>
    <w:rsid w:val="009E6FB0"/>
    <w:rsid w:val="009F010E"/>
    <w:rsid w:val="009F02ED"/>
    <w:rsid w:val="009F0913"/>
    <w:rsid w:val="009F1078"/>
    <w:rsid w:val="009F12E3"/>
    <w:rsid w:val="009F1AA7"/>
    <w:rsid w:val="009F2273"/>
    <w:rsid w:val="009F27E9"/>
    <w:rsid w:val="009F2B58"/>
    <w:rsid w:val="009F2EEF"/>
    <w:rsid w:val="009F3892"/>
    <w:rsid w:val="009F409D"/>
    <w:rsid w:val="009F435D"/>
    <w:rsid w:val="009F4488"/>
    <w:rsid w:val="009F45B2"/>
    <w:rsid w:val="009F4E20"/>
    <w:rsid w:val="009F6160"/>
    <w:rsid w:val="009F7CCB"/>
    <w:rsid w:val="00A00037"/>
    <w:rsid w:val="00A0199B"/>
    <w:rsid w:val="00A01E0D"/>
    <w:rsid w:val="00A02E7E"/>
    <w:rsid w:val="00A03B16"/>
    <w:rsid w:val="00A044EC"/>
    <w:rsid w:val="00A04CDE"/>
    <w:rsid w:val="00A06C44"/>
    <w:rsid w:val="00A06ECF"/>
    <w:rsid w:val="00A121C3"/>
    <w:rsid w:val="00A12478"/>
    <w:rsid w:val="00A13A9E"/>
    <w:rsid w:val="00A13D02"/>
    <w:rsid w:val="00A1411D"/>
    <w:rsid w:val="00A14167"/>
    <w:rsid w:val="00A14328"/>
    <w:rsid w:val="00A14E57"/>
    <w:rsid w:val="00A151F3"/>
    <w:rsid w:val="00A159ED"/>
    <w:rsid w:val="00A1614E"/>
    <w:rsid w:val="00A167FC"/>
    <w:rsid w:val="00A173B5"/>
    <w:rsid w:val="00A20744"/>
    <w:rsid w:val="00A210EE"/>
    <w:rsid w:val="00A217AB"/>
    <w:rsid w:val="00A22102"/>
    <w:rsid w:val="00A23526"/>
    <w:rsid w:val="00A23DDA"/>
    <w:rsid w:val="00A244CE"/>
    <w:rsid w:val="00A24540"/>
    <w:rsid w:val="00A24A15"/>
    <w:rsid w:val="00A24FF4"/>
    <w:rsid w:val="00A26D1C"/>
    <w:rsid w:val="00A27181"/>
    <w:rsid w:val="00A317C9"/>
    <w:rsid w:val="00A3284D"/>
    <w:rsid w:val="00A3405F"/>
    <w:rsid w:val="00A353B0"/>
    <w:rsid w:val="00A361B3"/>
    <w:rsid w:val="00A375BB"/>
    <w:rsid w:val="00A37C32"/>
    <w:rsid w:val="00A400EF"/>
    <w:rsid w:val="00A40F5C"/>
    <w:rsid w:val="00A41C73"/>
    <w:rsid w:val="00A432BA"/>
    <w:rsid w:val="00A433B8"/>
    <w:rsid w:val="00A43E2A"/>
    <w:rsid w:val="00A4567C"/>
    <w:rsid w:val="00A46D2B"/>
    <w:rsid w:val="00A505D1"/>
    <w:rsid w:val="00A50D26"/>
    <w:rsid w:val="00A512A0"/>
    <w:rsid w:val="00A517D0"/>
    <w:rsid w:val="00A51F10"/>
    <w:rsid w:val="00A533EF"/>
    <w:rsid w:val="00A543E9"/>
    <w:rsid w:val="00A5636E"/>
    <w:rsid w:val="00A563F4"/>
    <w:rsid w:val="00A5744A"/>
    <w:rsid w:val="00A57E5A"/>
    <w:rsid w:val="00A6158E"/>
    <w:rsid w:val="00A61B44"/>
    <w:rsid w:val="00A62401"/>
    <w:rsid w:val="00A62D63"/>
    <w:rsid w:val="00A630A4"/>
    <w:rsid w:val="00A63430"/>
    <w:rsid w:val="00A648B5"/>
    <w:rsid w:val="00A648BE"/>
    <w:rsid w:val="00A66491"/>
    <w:rsid w:val="00A66B15"/>
    <w:rsid w:val="00A67FAA"/>
    <w:rsid w:val="00A70504"/>
    <w:rsid w:val="00A7151D"/>
    <w:rsid w:val="00A71C45"/>
    <w:rsid w:val="00A71F39"/>
    <w:rsid w:val="00A72241"/>
    <w:rsid w:val="00A726BE"/>
    <w:rsid w:val="00A7297A"/>
    <w:rsid w:val="00A72EC3"/>
    <w:rsid w:val="00A738D3"/>
    <w:rsid w:val="00A73DCD"/>
    <w:rsid w:val="00A7408E"/>
    <w:rsid w:val="00A74D6C"/>
    <w:rsid w:val="00A75175"/>
    <w:rsid w:val="00A75A46"/>
    <w:rsid w:val="00A75F47"/>
    <w:rsid w:val="00A760E3"/>
    <w:rsid w:val="00A76905"/>
    <w:rsid w:val="00A800F8"/>
    <w:rsid w:val="00A8048F"/>
    <w:rsid w:val="00A804B7"/>
    <w:rsid w:val="00A80E73"/>
    <w:rsid w:val="00A82146"/>
    <w:rsid w:val="00A824D2"/>
    <w:rsid w:val="00A84F57"/>
    <w:rsid w:val="00A851DA"/>
    <w:rsid w:val="00A85E98"/>
    <w:rsid w:val="00A861AA"/>
    <w:rsid w:val="00A87E4E"/>
    <w:rsid w:val="00A91E7E"/>
    <w:rsid w:val="00A923C1"/>
    <w:rsid w:val="00A925D1"/>
    <w:rsid w:val="00A940B7"/>
    <w:rsid w:val="00A95777"/>
    <w:rsid w:val="00A957E4"/>
    <w:rsid w:val="00A95A4E"/>
    <w:rsid w:val="00A95BBD"/>
    <w:rsid w:val="00A96047"/>
    <w:rsid w:val="00A96A32"/>
    <w:rsid w:val="00A96CCD"/>
    <w:rsid w:val="00A97B9D"/>
    <w:rsid w:val="00AA0E67"/>
    <w:rsid w:val="00AA17AC"/>
    <w:rsid w:val="00AA1884"/>
    <w:rsid w:val="00AA2D26"/>
    <w:rsid w:val="00AA4087"/>
    <w:rsid w:val="00AA4581"/>
    <w:rsid w:val="00AA6015"/>
    <w:rsid w:val="00AA6B69"/>
    <w:rsid w:val="00AA6F85"/>
    <w:rsid w:val="00AA765B"/>
    <w:rsid w:val="00AA78EB"/>
    <w:rsid w:val="00AB2496"/>
    <w:rsid w:val="00AB2870"/>
    <w:rsid w:val="00AB2CC4"/>
    <w:rsid w:val="00AB355A"/>
    <w:rsid w:val="00AB36B6"/>
    <w:rsid w:val="00AB3E77"/>
    <w:rsid w:val="00AB670D"/>
    <w:rsid w:val="00AB730D"/>
    <w:rsid w:val="00AB7A76"/>
    <w:rsid w:val="00AB7C20"/>
    <w:rsid w:val="00AC337D"/>
    <w:rsid w:val="00AC408D"/>
    <w:rsid w:val="00AC4128"/>
    <w:rsid w:val="00AC4733"/>
    <w:rsid w:val="00AC6AD0"/>
    <w:rsid w:val="00AD0385"/>
    <w:rsid w:val="00AD09A4"/>
    <w:rsid w:val="00AD0B4D"/>
    <w:rsid w:val="00AD22A7"/>
    <w:rsid w:val="00AD24CB"/>
    <w:rsid w:val="00AD316C"/>
    <w:rsid w:val="00AD3E18"/>
    <w:rsid w:val="00AD494C"/>
    <w:rsid w:val="00AD4CB7"/>
    <w:rsid w:val="00AD501C"/>
    <w:rsid w:val="00AD5526"/>
    <w:rsid w:val="00AD553E"/>
    <w:rsid w:val="00AD55B5"/>
    <w:rsid w:val="00AD57E4"/>
    <w:rsid w:val="00AD5960"/>
    <w:rsid w:val="00AD5BA8"/>
    <w:rsid w:val="00AD6155"/>
    <w:rsid w:val="00AD61C5"/>
    <w:rsid w:val="00AD7546"/>
    <w:rsid w:val="00AD7BAC"/>
    <w:rsid w:val="00AD7EA1"/>
    <w:rsid w:val="00AE006D"/>
    <w:rsid w:val="00AE04CB"/>
    <w:rsid w:val="00AE0CF9"/>
    <w:rsid w:val="00AE1B78"/>
    <w:rsid w:val="00AE316C"/>
    <w:rsid w:val="00AE3FA7"/>
    <w:rsid w:val="00AE41C8"/>
    <w:rsid w:val="00AE4FD7"/>
    <w:rsid w:val="00AE5001"/>
    <w:rsid w:val="00AE519A"/>
    <w:rsid w:val="00AE5B37"/>
    <w:rsid w:val="00AE6627"/>
    <w:rsid w:val="00AE6CFD"/>
    <w:rsid w:val="00AE75D2"/>
    <w:rsid w:val="00AE76CF"/>
    <w:rsid w:val="00AF1E83"/>
    <w:rsid w:val="00AF20DA"/>
    <w:rsid w:val="00AF2B96"/>
    <w:rsid w:val="00AF3510"/>
    <w:rsid w:val="00AF441A"/>
    <w:rsid w:val="00AF4DC3"/>
    <w:rsid w:val="00AF50B4"/>
    <w:rsid w:val="00AF5B7E"/>
    <w:rsid w:val="00AF7770"/>
    <w:rsid w:val="00B00C86"/>
    <w:rsid w:val="00B02C84"/>
    <w:rsid w:val="00B03465"/>
    <w:rsid w:val="00B04301"/>
    <w:rsid w:val="00B050EC"/>
    <w:rsid w:val="00B0553F"/>
    <w:rsid w:val="00B06139"/>
    <w:rsid w:val="00B102AF"/>
    <w:rsid w:val="00B1169C"/>
    <w:rsid w:val="00B12170"/>
    <w:rsid w:val="00B122FA"/>
    <w:rsid w:val="00B1314B"/>
    <w:rsid w:val="00B14DB8"/>
    <w:rsid w:val="00B15485"/>
    <w:rsid w:val="00B15A9C"/>
    <w:rsid w:val="00B175F3"/>
    <w:rsid w:val="00B17AE3"/>
    <w:rsid w:val="00B20A19"/>
    <w:rsid w:val="00B21D38"/>
    <w:rsid w:val="00B22280"/>
    <w:rsid w:val="00B22C71"/>
    <w:rsid w:val="00B24420"/>
    <w:rsid w:val="00B24ABC"/>
    <w:rsid w:val="00B2586B"/>
    <w:rsid w:val="00B25955"/>
    <w:rsid w:val="00B260BD"/>
    <w:rsid w:val="00B261C1"/>
    <w:rsid w:val="00B278FC"/>
    <w:rsid w:val="00B27E81"/>
    <w:rsid w:val="00B27EE0"/>
    <w:rsid w:val="00B30727"/>
    <w:rsid w:val="00B30F57"/>
    <w:rsid w:val="00B317FF"/>
    <w:rsid w:val="00B345A1"/>
    <w:rsid w:val="00B35E3B"/>
    <w:rsid w:val="00B37D9B"/>
    <w:rsid w:val="00B4012E"/>
    <w:rsid w:val="00B432A7"/>
    <w:rsid w:val="00B434B6"/>
    <w:rsid w:val="00B45003"/>
    <w:rsid w:val="00B4505B"/>
    <w:rsid w:val="00B45ECE"/>
    <w:rsid w:val="00B45F3F"/>
    <w:rsid w:val="00B4636E"/>
    <w:rsid w:val="00B46A92"/>
    <w:rsid w:val="00B46E04"/>
    <w:rsid w:val="00B4720E"/>
    <w:rsid w:val="00B47666"/>
    <w:rsid w:val="00B5110F"/>
    <w:rsid w:val="00B51548"/>
    <w:rsid w:val="00B51EA1"/>
    <w:rsid w:val="00B52EF3"/>
    <w:rsid w:val="00B548A4"/>
    <w:rsid w:val="00B54F4B"/>
    <w:rsid w:val="00B55C1F"/>
    <w:rsid w:val="00B56490"/>
    <w:rsid w:val="00B5652A"/>
    <w:rsid w:val="00B5681B"/>
    <w:rsid w:val="00B57A29"/>
    <w:rsid w:val="00B604D3"/>
    <w:rsid w:val="00B60C91"/>
    <w:rsid w:val="00B613C4"/>
    <w:rsid w:val="00B62983"/>
    <w:rsid w:val="00B62BAD"/>
    <w:rsid w:val="00B643F3"/>
    <w:rsid w:val="00B6724A"/>
    <w:rsid w:val="00B678B1"/>
    <w:rsid w:val="00B678D1"/>
    <w:rsid w:val="00B679BB"/>
    <w:rsid w:val="00B67AED"/>
    <w:rsid w:val="00B67C2D"/>
    <w:rsid w:val="00B70890"/>
    <w:rsid w:val="00B714D5"/>
    <w:rsid w:val="00B71AE5"/>
    <w:rsid w:val="00B71F47"/>
    <w:rsid w:val="00B72164"/>
    <w:rsid w:val="00B72773"/>
    <w:rsid w:val="00B74C61"/>
    <w:rsid w:val="00B75122"/>
    <w:rsid w:val="00B754C0"/>
    <w:rsid w:val="00B75689"/>
    <w:rsid w:val="00B759A8"/>
    <w:rsid w:val="00B763AA"/>
    <w:rsid w:val="00B77D57"/>
    <w:rsid w:val="00B77DE8"/>
    <w:rsid w:val="00B77F7A"/>
    <w:rsid w:val="00B80396"/>
    <w:rsid w:val="00B80806"/>
    <w:rsid w:val="00B81359"/>
    <w:rsid w:val="00B83767"/>
    <w:rsid w:val="00B8389E"/>
    <w:rsid w:val="00B83DCD"/>
    <w:rsid w:val="00B841A9"/>
    <w:rsid w:val="00B86405"/>
    <w:rsid w:val="00B86A2C"/>
    <w:rsid w:val="00B9087C"/>
    <w:rsid w:val="00B90A29"/>
    <w:rsid w:val="00B9230D"/>
    <w:rsid w:val="00B93CEB"/>
    <w:rsid w:val="00B945B1"/>
    <w:rsid w:val="00B946A3"/>
    <w:rsid w:val="00B950E7"/>
    <w:rsid w:val="00B9515D"/>
    <w:rsid w:val="00B95B92"/>
    <w:rsid w:val="00B95BAD"/>
    <w:rsid w:val="00B95CB5"/>
    <w:rsid w:val="00B95E27"/>
    <w:rsid w:val="00B975E1"/>
    <w:rsid w:val="00BA0E42"/>
    <w:rsid w:val="00BA0F9B"/>
    <w:rsid w:val="00BA100B"/>
    <w:rsid w:val="00BA13E6"/>
    <w:rsid w:val="00BA14CE"/>
    <w:rsid w:val="00BA1AB1"/>
    <w:rsid w:val="00BA1C97"/>
    <w:rsid w:val="00BA3F40"/>
    <w:rsid w:val="00BA4890"/>
    <w:rsid w:val="00BA4AF4"/>
    <w:rsid w:val="00BA5E01"/>
    <w:rsid w:val="00BA5E5A"/>
    <w:rsid w:val="00BA6A35"/>
    <w:rsid w:val="00BB013D"/>
    <w:rsid w:val="00BB029B"/>
    <w:rsid w:val="00BB0A5B"/>
    <w:rsid w:val="00BB1AD2"/>
    <w:rsid w:val="00BB25B6"/>
    <w:rsid w:val="00BB5596"/>
    <w:rsid w:val="00BB5778"/>
    <w:rsid w:val="00BB580B"/>
    <w:rsid w:val="00BB762D"/>
    <w:rsid w:val="00BB7AAE"/>
    <w:rsid w:val="00BC26DE"/>
    <w:rsid w:val="00BC2966"/>
    <w:rsid w:val="00BC434D"/>
    <w:rsid w:val="00BC5C12"/>
    <w:rsid w:val="00BC69E7"/>
    <w:rsid w:val="00BC757A"/>
    <w:rsid w:val="00BC7682"/>
    <w:rsid w:val="00BC7D60"/>
    <w:rsid w:val="00BC7FFC"/>
    <w:rsid w:val="00BD0D2F"/>
    <w:rsid w:val="00BD1BF8"/>
    <w:rsid w:val="00BD2E2A"/>
    <w:rsid w:val="00BD32F4"/>
    <w:rsid w:val="00BD7E33"/>
    <w:rsid w:val="00BE06CF"/>
    <w:rsid w:val="00BE0F0B"/>
    <w:rsid w:val="00BE239D"/>
    <w:rsid w:val="00BE2D01"/>
    <w:rsid w:val="00BE3CC4"/>
    <w:rsid w:val="00BE42DB"/>
    <w:rsid w:val="00BE42E2"/>
    <w:rsid w:val="00BE42F1"/>
    <w:rsid w:val="00BE45E5"/>
    <w:rsid w:val="00BE5DBE"/>
    <w:rsid w:val="00BE64AF"/>
    <w:rsid w:val="00BE65F1"/>
    <w:rsid w:val="00BE7C43"/>
    <w:rsid w:val="00BF021A"/>
    <w:rsid w:val="00BF0295"/>
    <w:rsid w:val="00BF116A"/>
    <w:rsid w:val="00BF19D6"/>
    <w:rsid w:val="00BF1FC1"/>
    <w:rsid w:val="00BF321D"/>
    <w:rsid w:val="00BF3F85"/>
    <w:rsid w:val="00BF3FFE"/>
    <w:rsid w:val="00BF4733"/>
    <w:rsid w:val="00BF4A48"/>
    <w:rsid w:val="00BF4DBA"/>
    <w:rsid w:val="00BF5562"/>
    <w:rsid w:val="00BF5C6E"/>
    <w:rsid w:val="00BF68BA"/>
    <w:rsid w:val="00BF6DF0"/>
    <w:rsid w:val="00C025A0"/>
    <w:rsid w:val="00C04C4F"/>
    <w:rsid w:val="00C06936"/>
    <w:rsid w:val="00C06CE0"/>
    <w:rsid w:val="00C07417"/>
    <w:rsid w:val="00C10077"/>
    <w:rsid w:val="00C10F16"/>
    <w:rsid w:val="00C1143C"/>
    <w:rsid w:val="00C1168B"/>
    <w:rsid w:val="00C11DE9"/>
    <w:rsid w:val="00C124CB"/>
    <w:rsid w:val="00C12E9E"/>
    <w:rsid w:val="00C130E6"/>
    <w:rsid w:val="00C13CAA"/>
    <w:rsid w:val="00C13D65"/>
    <w:rsid w:val="00C141B6"/>
    <w:rsid w:val="00C16083"/>
    <w:rsid w:val="00C178B4"/>
    <w:rsid w:val="00C17C45"/>
    <w:rsid w:val="00C2052D"/>
    <w:rsid w:val="00C20D4F"/>
    <w:rsid w:val="00C211A6"/>
    <w:rsid w:val="00C2193D"/>
    <w:rsid w:val="00C2212E"/>
    <w:rsid w:val="00C22382"/>
    <w:rsid w:val="00C22734"/>
    <w:rsid w:val="00C22884"/>
    <w:rsid w:val="00C22CFA"/>
    <w:rsid w:val="00C26045"/>
    <w:rsid w:val="00C265F6"/>
    <w:rsid w:val="00C2660B"/>
    <w:rsid w:val="00C27FC1"/>
    <w:rsid w:val="00C306E0"/>
    <w:rsid w:val="00C313BB"/>
    <w:rsid w:val="00C33395"/>
    <w:rsid w:val="00C33CE9"/>
    <w:rsid w:val="00C340A1"/>
    <w:rsid w:val="00C34E7A"/>
    <w:rsid w:val="00C3559C"/>
    <w:rsid w:val="00C35ED5"/>
    <w:rsid w:val="00C36914"/>
    <w:rsid w:val="00C3736F"/>
    <w:rsid w:val="00C37454"/>
    <w:rsid w:val="00C42812"/>
    <w:rsid w:val="00C43DA2"/>
    <w:rsid w:val="00C43F72"/>
    <w:rsid w:val="00C452DC"/>
    <w:rsid w:val="00C46AEC"/>
    <w:rsid w:val="00C47B25"/>
    <w:rsid w:val="00C47B6F"/>
    <w:rsid w:val="00C47EA7"/>
    <w:rsid w:val="00C50285"/>
    <w:rsid w:val="00C5029A"/>
    <w:rsid w:val="00C50798"/>
    <w:rsid w:val="00C507D5"/>
    <w:rsid w:val="00C50AE3"/>
    <w:rsid w:val="00C51FFC"/>
    <w:rsid w:val="00C52029"/>
    <w:rsid w:val="00C53193"/>
    <w:rsid w:val="00C5393A"/>
    <w:rsid w:val="00C540C8"/>
    <w:rsid w:val="00C55451"/>
    <w:rsid w:val="00C55A4E"/>
    <w:rsid w:val="00C55C67"/>
    <w:rsid w:val="00C56482"/>
    <w:rsid w:val="00C566FC"/>
    <w:rsid w:val="00C56F5C"/>
    <w:rsid w:val="00C5757D"/>
    <w:rsid w:val="00C57B25"/>
    <w:rsid w:val="00C57BD4"/>
    <w:rsid w:val="00C60A27"/>
    <w:rsid w:val="00C61607"/>
    <w:rsid w:val="00C6282F"/>
    <w:rsid w:val="00C6305C"/>
    <w:rsid w:val="00C63D93"/>
    <w:rsid w:val="00C648EB"/>
    <w:rsid w:val="00C64E57"/>
    <w:rsid w:val="00C65BDB"/>
    <w:rsid w:val="00C65FF5"/>
    <w:rsid w:val="00C66CB6"/>
    <w:rsid w:val="00C70A82"/>
    <w:rsid w:val="00C70B76"/>
    <w:rsid w:val="00C71363"/>
    <w:rsid w:val="00C72075"/>
    <w:rsid w:val="00C7249A"/>
    <w:rsid w:val="00C74C81"/>
    <w:rsid w:val="00C750EA"/>
    <w:rsid w:val="00C75D02"/>
    <w:rsid w:val="00C75E8F"/>
    <w:rsid w:val="00C76811"/>
    <w:rsid w:val="00C77480"/>
    <w:rsid w:val="00C80B5A"/>
    <w:rsid w:val="00C82B59"/>
    <w:rsid w:val="00C831FC"/>
    <w:rsid w:val="00C84645"/>
    <w:rsid w:val="00C84A75"/>
    <w:rsid w:val="00C8594E"/>
    <w:rsid w:val="00C85B37"/>
    <w:rsid w:val="00C90857"/>
    <w:rsid w:val="00C90B8D"/>
    <w:rsid w:val="00C91729"/>
    <w:rsid w:val="00C919FA"/>
    <w:rsid w:val="00C91C47"/>
    <w:rsid w:val="00C93BDD"/>
    <w:rsid w:val="00C93CE6"/>
    <w:rsid w:val="00C940C4"/>
    <w:rsid w:val="00C94AA8"/>
    <w:rsid w:val="00C95BE0"/>
    <w:rsid w:val="00C95FA0"/>
    <w:rsid w:val="00CA0061"/>
    <w:rsid w:val="00CA1C05"/>
    <w:rsid w:val="00CA1C0D"/>
    <w:rsid w:val="00CA3CE8"/>
    <w:rsid w:val="00CA4156"/>
    <w:rsid w:val="00CA443C"/>
    <w:rsid w:val="00CA5314"/>
    <w:rsid w:val="00CA5420"/>
    <w:rsid w:val="00CA71AB"/>
    <w:rsid w:val="00CA73E6"/>
    <w:rsid w:val="00CA7605"/>
    <w:rsid w:val="00CB056F"/>
    <w:rsid w:val="00CB091C"/>
    <w:rsid w:val="00CB1531"/>
    <w:rsid w:val="00CB18E5"/>
    <w:rsid w:val="00CB1B5A"/>
    <w:rsid w:val="00CB20F7"/>
    <w:rsid w:val="00CB3603"/>
    <w:rsid w:val="00CB4E0B"/>
    <w:rsid w:val="00CB5F2D"/>
    <w:rsid w:val="00CB67EB"/>
    <w:rsid w:val="00CB6FE3"/>
    <w:rsid w:val="00CB78C5"/>
    <w:rsid w:val="00CB7EA1"/>
    <w:rsid w:val="00CC03DD"/>
    <w:rsid w:val="00CC1259"/>
    <w:rsid w:val="00CC1A00"/>
    <w:rsid w:val="00CC2FC4"/>
    <w:rsid w:val="00CC386B"/>
    <w:rsid w:val="00CC4CC3"/>
    <w:rsid w:val="00CC7FEF"/>
    <w:rsid w:val="00CD087A"/>
    <w:rsid w:val="00CD0A30"/>
    <w:rsid w:val="00CD1498"/>
    <w:rsid w:val="00CD1C1C"/>
    <w:rsid w:val="00CD2151"/>
    <w:rsid w:val="00CD2691"/>
    <w:rsid w:val="00CD33FD"/>
    <w:rsid w:val="00CD4EBC"/>
    <w:rsid w:val="00CD5C5C"/>
    <w:rsid w:val="00CD6853"/>
    <w:rsid w:val="00CD7BFB"/>
    <w:rsid w:val="00CE0494"/>
    <w:rsid w:val="00CE21E7"/>
    <w:rsid w:val="00CE236C"/>
    <w:rsid w:val="00CE2B2F"/>
    <w:rsid w:val="00CE2D86"/>
    <w:rsid w:val="00CE455E"/>
    <w:rsid w:val="00CE45F6"/>
    <w:rsid w:val="00CE49DF"/>
    <w:rsid w:val="00CE595D"/>
    <w:rsid w:val="00CE5DF2"/>
    <w:rsid w:val="00CE7206"/>
    <w:rsid w:val="00CF0083"/>
    <w:rsid w:val="00CF1329"/>
    <w:rsid w:val="00CF19FF"/>
    <w:rsid w:val="00CF21DB"/>
    <w:rsid w:val="00CF23C9"/>
    <w:rsid w:val="00CF2D6F"/>
    <w:rsid w:val="00CF2E0C"/>
    <w:rsid w:val="00CF4E15"/>
    <w:rsid w:val="00CF6724"/>
    <w:rsid w:val="00D008AB"/>
    <w:rsid w:val="00D009A9"/>
    <w:rsid w:val="00D02BD8"/>
    <w:rsid w:val="00D03D73"/>
    <w:rsid w:val="00D04220"/>
    <w:rsid w:val="00D045EA"/>
    <w:rsid w:val="00D055DE"/>
    <w:rsid w:val="00D05C4C"/>
    <w:rsid w:val="00D06705"/>
    <w:rsid w:val="00D11981"/>
    <w:rsid w:val="00D120DC"/>
    <w:rsid w:val="00D126DE"/>
    <w:rsid w:val="00D13454"/>
    <w:rsid w:val="00D13BF4"/>
    <w:rsid w:val="00D14042"/>
    <w:rsid w:val="00D143D8"/>
    <w:rsid w:val="00D14B07"/>
    <w:rsid w:val="00D16022"/>
    <w:rsid w:val="00D16419"/>
    <w:rsid w:val="00D17573"/>
    <w:rsid w:val="00D17BDF"/>
    <w:rsid w:val="00D20B99"/>
    <w:rsid w:val="00D227F2"/>
    <w:rsid w:val="00D22E37"/>
    <w:rsid w:val="00D24CFD"/>
    <w:rsid w:val="00D2529C"/>
    <w:rsid w:val="00D2597D"/>
    <w:rsid w:val="00D259AF"/>
    <w:rsid w:val="00D26DC4"/>
    <w:rsid w:val="00D26ED9"/>
    <w:rsid w:val="00D30368"/>
    <w:rsid w:val="00D3050D"/>
    <w:rsid w:val="00D30622"/>
    <w:rsid w:val="00D30B1E"/>
    <w:rsid w:val="00D30E20"/>
    <w:rsid w:val="00D3144B"/>
    <w:rsid w:val="00D31C91"/>
    <w:rsid w:val="00D3201A"/>
    <w:rsid w:val="00D32A3C"/>
    <w:rsid w:val="00D330AA"/>
    <w:rsid w:val="00D33567"/>
    <w:rsid w:val="00D33771"/>
    <w:rsid w:val="00D3442C"/>
    <w:rsid w:val="00D35D36"/>
    <w:rsid w:val="00D36E24"/>
    <w:rsid w:val="00D373A4"/>
    <w:rsid w:val="00D420DE"/>
    <w:rsid w:val="00D423F4"/>
    <w:rsid w:val="00D42E67"/>
    <w:rsid w:val="00D4677D"/>
    <w:rsid w:val="00D474FF"/>
    <w:rsid w:val="00D47521"/>
    <w:rsid w:val="00D50079"/>
    <w:rsid w:val="00D50D3D"/>
    <w:rsid w:val="00D50DCB"/>
    <w:rsid w:val="00D51210"/>
    <w:rsid w:val="00D51D76"/>
    <w:rsid w:val="00D529D9"/>
    <w:rsid w:val="00D52E47"/>
    <w:rsid w:val="00D542DD"/>
    <w:rsid w:val="00D5533A"/>
    <w:rsid w:val="00D555F4"/>
    <w:rsid w:val="00D56DED"/>
    <w:rsid w:val="00D578C6"/>
    <w:rsid w:val="00D60FBA"/>
    <w:rsid w:val="00D61A52"/>
    <w:rsid w:val="00D61F35"/>
    <w:rsid w:val="00D620B4"/>
    <w:rsid w:val="00D62277"/>
    <w:rsid w:val="00D62D1C"/>
    <w:rsid w:val="00D63094"/>
    <w:rsid w:val="00D645C6"/>
    <w:rsid w:val="00D648DF"/>
    <w:rsid w:val="00D64D00"/>
    <w:rsid w:val="00D650B3"/>
    <w:rsid w:val="00D652D3"/>
    <w:rsid w:val="00D658EC"/>
    <w:rsid w:val="00D65A6B"/>
    <w:rsid w:val="00D661A3"/>
    <w:rsid w:val="00D6650C"/>
    <w:rsid w:val="00D679CC"/>
    <w:rsid w:val="00D703DC"/>
    <w:rsid w:val="00D7068B"/>
    <w:rsid w:val="00D712A2"/>
    <w:rsid w:val="00D714D5"/>
    <w:rsid w:val="00D721AC"/>
    <w:rsid w:val="00D72210"/>
    <w:rsid w:val="00D7275B"/>
    <w:rsid w:val="00D72CAF"/>
    <w:rsid w:val="00D73237"/>
    <w:rsid w:val="00D739EF"/>
    <w:rsid w:val="00D73EA5"/>
    <w:rsid w:val="00D74383"/>
    <w:rsid w:val="00D744D9"/>
    <w:rsid w:val="00D75549"/>
    <w:rsid w:val="00D75C75"/>
    <w:rsid w:val="00D76079"/>
    <w:rsid w:val="00D76160"/>
    <w:rsid w:val="00D76810"/>
    <w:rsid w:val="00D76D93"/>
    <w:rsid w:val="00D77266"/>
    <w:rsid w:val="00D814A0"/>
    <w:rsid w:val="00D83361"/>
    <w:rsid w:val="00D84C7A"/>
    <w:rsid w:val="00D85DB8"/>
    <w:rsid w:val="00D871E3"/>
    <w:rsid w:val="00D8726A"/>
    <w:rsid w:val="00D87E40"/>
    <w:rsid w:val="00D90202"/>
    <w:rsid w:val="00D90B5B"/>
    <w:rsid w:val="00D91EB0"/>
    <w:rsid w:val="00D9274A"/>
    <w:rsid w:val="00D92AC8"/>
    <w:rsid w:val="00D93302"/>
    <w:rsid w:val="00D95423"/>
    <w:rsid w:val="00D96569"/>
    <w:rsid w:val="00D96E5B"/>
    <w:rsid w:val="00D970EC"/>
    <w:rsid w:val="00D97E7A"/>
    <w:rsid w:val="00DA0E04"/>
    <w:rsid w:val="00DA13D9"/>
    <w:rsid w:val="00DA318B"/>
    <w:rsid w:val="00DA49ED"/>
    <w:rsid w:val="00DA5D6A"/>
    <w:rsid w:val="00DA6175"/>
    <w:rsid w:val="00DA7521"/>
    <w:rsid w:val="00DA75CF"/>
    <w:rsid w:val="00DB0DD0"/>
    <w:rsid w:val="00DB0E1C"/>
    <w:rsid w:val="00DB22A6"/>
    <w:rsid w:val="00DB2459"/>
    <w:rsid w:val="00DB2981"/>
    <w:rsid w:val="00DB2DFD"/>
    <w:rsid w:val="00DB3EDD"/>
    <w:rsid w:val="00DB44BF"/>
    <w:rsid w:val="00DB4693"/>
    <w:rsid w:val="00DB4FB2"/>
    <w:rsid w:val="00DB5035"/>
    <w:rsid w:val="00DB584D"/>
    <w:rsid w:val="00DB6567"/>
    <w:rsid w:val="00DB6785"/>
    <w:rsid w:val="00DB704A"/>
    <w:rsid w:val="00DB7C22"/>
    <w:rsid w:val="00DC0411"/>
    <w:rsid w:val="00DC066A"/>
    <w:rsid w:val="00DC09EA"/>
    <w:rsid w:val="00DC5195"/>
    <w:rsid w:val="00DC5C5D"/>
    <w:rsid w:val="00DC5CBC"/>
    <w:rsid w:val="00DC62AC"/>
    <w:rsid w:val="00DC7E26"/>
    <w:rsid w:val="00DD0CC2"/>
    <w:rsid w:val="00DD11B7"/>
    <w:rsid w:val="00DD19F0"/>
    <w:rsid w:val="00DD22C4"/>
    <w:rsid w:val="00DD2784"/>
    <w:rsid w:val="00DD29D7"/>
    <w:rsid w:val="00DD3875"/>
    <w:rsid w:val="00DD510B"/>
    <w:rsid w:val="00DD5B66"/>
    <w:rsid w:val="00DD5FDD"/>
    <w:rsid w:val="00DD6AB1"/>
    <w:rsid w:val="00DD7C7C"/>
    <w:rsid w:val="00DD7CFE"/>
    <w:rsid w:val="00DD7F82"/>
    <w:rsid w:val="00DE0DB3"/>
    <w:rsid w:val="00DE0FC1"/>
    <w:rsid w:val="00DE2097"/>
    <w:rsid w:val="00DE21FA"/>
    <w:rsid w:val="00DE2838"/>
    <w:rsid w:val="00DE28D9"/>
    <w:rsid w:val="00DE29BD"/>
    <w:rsid w:val="00DE2C29"/>
    <w:rsid w:val="00DE2FAA"/>
    <w:rsid w:val="00DE3195"/>
    <w:rsid w:val="00DE31F5"/>
    <w:rsid w:val="00DE4B29"/>
    <w:rsid w:val="00DE54C3"/>
    <w:rsid w:val="00DE5C55"/>
    <w:rsid w:val="00DE6674"/>
    <w:rsid w:val="00DE6A23"/>
    <w:rsid w:val="00DE75B5"/>
    <w:rsid w:val="00DE7B5C"/>
    <w:rsid w:val="00DE7E98"/>
    <w:rsid w:val="00DF0431"/>
    <w:rsid w:val="00DF05CB"/>
    <w:rsid w:val="00DF22B0"/>
    <w:rsid w:val="00DF3D2A"/>
    <w:rsid w:val="00DF4258"/>
    <w:rsid w:val="00DF446F"/>
    <w:rsid w:val="00DF46DF"/>
    <w:rsid w:val="00DF4DC8"/>
    <w:rsid w:val="00DF52CF"/>
    <w:rsid w:val="00DF5DCA"/>
    <w:rsid w:val="00DF76D7"/>
    <w:rsid w:val="00E00032"/>
    <w:rsid w:val="00E008C8"/>
    <w:rsid w:val="00E00A8B"/>
    <w:rsid w:val="00E01F1B"/>
    <w:rsid w:val="00E03920"/>
    <w:rsid w:val="00E03C55"/>
    <w:rsid w:val="00E03E13"/>
    <w:rsid w:val="00E04B09"/>
    <w:rsid w:val="00E05D37"/>
    <w:rsid w:val="00E05E10"/>
    <w:rsid w:val="00E06D4E"/>
    <w:rsid w:val="00E06FA6"/>
    <w:rsid w:val="00E1042D"/>
    <w:rsid w:val="00E145E9"/>
    <w:rsid w:val="00E14B7D"/>
    <w:rsid w:val="00E15319"/>
    <w:rsid w:val="00E16403"/>
    <w:rsid w:val="00E16448"/>
    <w:rsid w:val="00E16A6A"/>
    <w:rsid w:val="00E17349"/>
    <w:rsid w:val="00E21076"/>
    <w:rsid w:val="00E21973"/>
    <w:rsid w:val="00E23427"/>
    <w:rsid w:val="00E24E2F"/>
    <w:rsid w:val="00E2568F"/>
    <w:rsid w:val="00E25986"/>
    <w:rsid w:val="00E25D4B"/>
    <w:rsid w:val="00E26834"/>
    <w:rsid w:val="00E27AB6"/>
    <w:rsid w:val="00E307FF"/>
    <w:rsid w:val="00E30ADD"/>
    <w:rsid w:val="00E31861"/>
    <w:rsid w:val="00E31BD7"/>
    <w:rsid w:val="00E3272E"/>
    <w:rsid w:val="00E33D31"/>
    <w:rsid w:val="00E342AC"/>
    <w:rsid w:val="00E35770"/>
    <w:rsid w:val="00E35FBE"/>
    <w:rsid w:val="00E363B4"/>
    <w:rsid w:val="00E37270"/>
    <w:rsid w:val="00E40494"/>
    <w:rsid w:val="00E423FB"/>
    <w:rsid w:val="00E43427"/>
    <w:rsid w:val="00E43AF7"/>
    <w:rsid w:val="00E43B9E"/>
    <w:rsid w:val="00E442D1"/>
    <w:rsid w:val="00E45594"/>
    <w:rsid w:val="00E458F1"/>
    <w:rsid w:val="00E458F9"/>
    <w:rsid w:val="00E45D8A"/>
    <w:rsid w:val="00E4601E"/>
    <w:rsid w:val="00E46CFD"/>
    <w:rsid w:val="00E47C03"/>
    <w:rsid w:val="00E47F3D"/>
    <w:rsid w:val="00E50026"/>
    <w:rsid w:val="00E52283"/>
    <w:rsid w:val="00E5241F"/>
    <w:rsid w:val="00E52C21"/>
    <w:rsid w:val="00E5300E"/>
    <w:rsid w:val="00E5395C"/>
    <w:rsid w:val="00E54269"/>
    <w:rsid w:val="00E55A01"/>
    <w:rsid w:val="00E6065C"/>
    <w:rsid w:val="00E614DF"/>
    <w:rsid w:val="00E61878"/>
    <w:rsid w:val="00E6200E"/>
    <w:rsid w:val="00E63A6C"/>
    <w:rsid w:val="00E63BE2"/>
    <w:rsid w:val="00E643C6"/>
    <w:rsid w:val="00E65196"/>
    <w:rsid w:val="00E65ABA"/>
    <w:rsid w:val="00E667BE"/>
    <w:rsid w:val="00E6683F"/>
    <w:rsid w:val="00E670C3"/>
    <w:rsid w:val="00E671D4"/>
    <w:rsid w:val="00E67F3A"/>
    <w:rsid w:val="00E7277D"/>
    <w:rsid w:val="00E72E22"/>
    <w:rsid w:val="00E72F5F"/>
    <w:rsid w:val="00E73054"/>
    <w:rsid w:val="00E73185"/>
    <w:rsid w:val="00E73A68"/>
    <w:rsid w:val="00E73AF3"/>
    <w:rsid w:val="00E74362"/>
    <w:rsid w:val="00E74600"/>
    <w:rsid w:val="00E746E0"/>
    <w:rsid w:val="00E75407"/>
    <w:rsid w:val="00E755E6"/>
    <w:rsid w:val="00E757FD"/>
    <w:rsid w:val="00E75917"/>
    <w:rsid w:val="00E75A55"/>
    <w:rsid w:val="00E77D61"/>
    <w:rsid w:val="00E83421"/>
    <w:rsid w:val="00E83F9B"/>
    <w:rsid w:val="00E85409"/>
    <w:rsid w:val="00E857AD"/>
    <w:rsid w:val="00E859D0"/>
    <w:rsid w:val="00E8603C"/>
    <w:rsid w:val="00E910A0"/>
    <w:rsid w:val="00E91284"/>
    <w:rsid w:val="00E914E0"/>
    <w:rsid w:val="00E91879"/>
    <w:rsid w:val="00E91899"/>
    <w:rsid w:val="00E9262B"/>
    <w:rsid w:val="00E93DE4"/>
    <w:rsid w:val="00E94165"/>
    <w:rsid w:val="00E94CD0"/>
    <w:rsid w:val="00E94FA4"/>
    <w:rsid w:val="00E97408"/>
    <w:rsid w:val="00E97BDE"/>
    <w:rsid w:val="00EA1204"/>
    <w:rsid w:val="00EA18B9"/>
    <w:rsid w:val="00EA1B45"/>
    <w:rsid w:val="00EA2505"/>
    <w:rsid w:val="00EA3FBA"/>
    <w:rsid w:val="00EA4883"/>
    <w:rsid w:val="00EA48ED"/>
    <w:rsid w:val="00EA5C38"/>
    <w:rsid w:val="00EB06CE"/>
    <w:rsid w:val="00EB1D34"/>
    <w:rsid w:val="00EB1DB1"/>
    <w:rsid w:val="00EB4355"/>
    <w:rsid w:val="00EB4E36"/>
    <w:rsid w:val="00EB6363"/>
    <w:rsid w:val="00EC0668"/>
    <w:rsid w:val="00EC169F"/>
    <w:rsid w:val="00EC19EA"/>
    <w:rsid w:val="00EC2A54"/>
    <w:rsid w:val="00EC3149"/>
    <w:rsid w:val="00EC37CC"/>
    <w:rsid w:val="00EC4EA3"/>
    <w:rsid w:val="00EC6A52"/>
    <w:rsid w:val="00EC74BC"/>
    <w:rsid w:val="00EC79A1"/>
    <w:rsid w:val="00EC7A3C"/>
    <w:rsid w:val="00ED007E"/>
    <w:rsid w:val="00ED2BAF"/>
    <w:rsid w:val="00ED3477"/>
    <w:rsid w:val="00ED41E8"/>
    <w:rsid w:val="00ED42EA"/>
    <w:rsid w:val="00ED6C3C"/>
    <w:rsid w:val="00ED6D8F"/>
    <w:rsid w:val="00ED7682"/>
    <w:rsid w:val="00ED793B"/>
    <w:rsid w:val="00EE135B"/>
    <w:rsid w:val="00EE13B6"/>
    <w:rsid w:val="00EE1968"/>
    <w:rsid w:val="00EE2D7F"/>
    <w:rsid w:val="00EE31CB"/>
    <w:rsid w:val="00EE3487"/>
    <w:rsid w:val="00EE3D88"/>
    <w:rsid w:val="00EE3F04"/>
    <w:rsid w:val="00EE4ACB"/>
    <w:rsid w:val="00EE52C0"/>
    <w:rsid w:val="00EE60DA"/>
    <w:rsid w:val="00EE6178"/>
    <w:rsid w:val="00EE6541"/>
    <w:rsid w:val="00EE6C14"/>
    <w:rsid w:val="00EE7424"/>
    <w:rsid w:val="00EE7F4E"/>
    <w:rsid w:val="00EF0CC4"/>
    <w:rsid w:val="00EF1444"/>
    <w:rsid w:val="00EF340F"/>
    <w:rsid w:val="00EF3BD6"/>
    <w:rsid w:val="00EF4142"/>
    <w:rsid w:val="00EF4D8E"/>
    <w:rsid w:val="00EF533D"/>
    <w:rsid w:val="00EF5FC4"/>
    <w:rsid w:val="00EF6339"/>
    <w:rsid w:val="00F01AEF"/>
    <w:rsid w:val="00F01BB9"/>
    <w:rsid w:val="00F023BD"/>
    <w:rsid w:val="00F04913"/>
    <w:rsid w:val="00F0612B"/>
    <w:rsid w:val="00F0617F"/>
    <w:rsid w:val="00F062DA"/>
    <w:rsid w:val="00F108A0"/>
    <w:rsid w:val="00F10A38"/>
    <w:rsid w:val="00F119E7"/>
    <w:rsid w:val="00F12922"/>
    <w:rsid w:val="00F12BE0"/>
    <w:rsid w:val="00F13B47"/>
    <w:rsid w:val="00F13FF4"/>
    <w:rsid w:val="00F14F16"/>
    <w:rsid w:val="00F159E6"/>
    <w:rsid w:val="00F1705B"/>
    <w:rsid w:val="00F17D30"/>
    <w:rsid w:val="00F20CC1"/>
    <w:rsid w:val="00F22A08"/>
    <w:rsid w:val="00F23575"/>
    <w:rsid w:val="00F24D41"/>
    <w:rsid w:val="00F2547B"/>
    <w:rsid w:val="00F2571B"/>
    <w:rsid w:val="00F27B7A"/>
    <w:rsid w:val="00F30CF6"/>
    <w:rsid w:val="00F3139E"/>
    <w:rsid w:val="00F32A52"/>
    <w:rsid w:val="00F32E3C"/>
    <w:rsid w:val="00F339BC"/>
    <w:rsid w:val="00F342B6"/>
    <w:rsid w:val="00F34E05"/>
    <w:rsid w:val="00F35736"/>
    <w:rsid w:val="00F365B2"/>
    <w:rsid w:val="00F37124"/>
    <w:rsid w:val="00F41A56"/>
    <w:rsid w:val="00F4290C"/>
    <w:rsid w:val="00F42D07"/>
    <w:rsid w:val="00F438B5"/>
    <w:rsid w:val="00F44A67"/>
    <w:rsid w:val="00F451AD"/>
    <w:rsid w:val="00F463BA"/>
    <w:rsid w:val="00F466B9"/>
    <w:rsid w:val="00F47256"/>
    <w:rsid w:val="00F47A99"/>
    <w:rsid w:val="00F50215"/>
    <w:rsid w:val="00F516F4"/>
    <w:rsid w:val="00F547FB"/>
    <w:rsid w:val="00F55F94"/>
    <w:rsid w:val="00F562BE"/>
    <w:rsid w:val="00F60E6F"/>
    <w:rsid w:val="00F612EB"/>
    <w:rsid w:val="00F6527B"/>
    <w:rsid w:val="00F66961"/>
    <w:rsid w:val="00F67E6C"/>
    <w:rsid w:val="00F70D43"/>
    <w:rsid w:val="00F72DDC"/>
    <w:rsid w:val="00F72E37"/>
    <w:rsid w:val="00F73016"/>
    <w:rsid w:val="00F731D3"/>
    <w:rsid w:val="00F7375B"/>
    <w:rsid w:val="00F73B6E"/>
    <w:rsid w:val="00F73D71"/>
    <w:rsid w:val="00F754EC"/>
    <w:rsid w:val="00F75C98"/>
    <w:rsid w:val="00F83168"/>
    <w:rsid w:val="00F832A3"/>
    <w:rsid w:val="00F83B15"/>
    <w:rsid w:val="00F84850"/>
    <w:rsid w:val="00F84D19"/>
    <w:rsid w:val="00F85563"/>
    <w:rsid w:val="00F855C6"/>
    <w:rsid w:val="00F8608D"/>
    <w:rsid w:val="00F874FB"/>
    <w:rsid w:val="00F91F00"/>
    <w:rsid w:val="00F93147"/>
    <w:rsid w:val="00F95FF4"/>
    <w:rsid w:val="00F96CE9"/>
    <w:rsid w:val="00F96F3A"/>
    <w:rsid w:val="00F97B5F"/>
    <w:rsid w:val="00FA0BC6"/>
    <w:rsid w:val="00FA22D0"/>
    <w:rsid w:val="00FA3D33"/>
    <w:rsid w:val="00FA4182"/>
    <w:rsid w:val="00FA49AE"/>
    <w:rsid w:val="00FA4EFD"/>
    <w:rsid w:val="00FA56ED"/>
    <w:rsid w:val="00FA6352"/>
    <w:rsid w:val="00FA720C"/>
    <w:rsid w:val="00FA7570"/>
    <w:rsid w:val="00FA76D6"/>
    <w:rsid w:val="00FA7BA5"/>
    <w:rsid w:val="00FB00D1"/>
    <w:rsid w:val="00FB167D"/>
    <w:rsid w:val="00FB1F0B"/>
    <w:rsid w:val="00FB25D4"/>
    <w:rsid w:val="00FB2852"/>
    <w:rsid w:val="00FB3B6B"/>
    <w:rsid w:val="00FB3C5B"/>
    <w:rsid w:val="00FB4407"/>
    <w:rsid w:val="00FB4650"/>
    <w:rsid w:val="00FB4D52"/>
    <w:rsid w:val="00FB503D"/>
    <w:rsid w:val="00FB5108"/>
    <w:rsid w:val="00FB5AC2"/>
    <w:rsid w:val="00FB5E56"/>
    <w:rsid w:val="00FB6510"/>
    <w:rsid w:val="00FB6642"/>
    <w:rsid w:val="00FB73F9"/>
    <w:rsid w:val="00FC0696"/>
    <w:rsid w:val="00FC1550"/>
    <w:rsid w:val="00FC1E58"/>
    <w:rsid w:val="00FC265A"/>
    <w:rsid w:val="00FC381C"/>
    <w:rsid w:val="00FC3942"/>
    <w:rsid w:val="00FC3BD4"/>
    <w:rsid w:val="00FC3F2D"/>
    <w:rsid w:val="00FC5352"/>
    <w:rsid w:val="00FC53D4"/>
    <w:rsid w:val="00FC6219"/>
    <w:rsid w:val="00FC646C"/>
    <w:rsid w:val="00FC720E"/>
    <w:rsid w:val="00FC7CCA"/>
    <w:rsid w:val="00FC7EB8"/>
    <w:rsid w:val="00FD073E"/>
    <w:rsid w:val="00FD093E"/>
    <w:rsid w:val="00FD2DB5"/>
    <w:rsid w:val="00FD4864"/>
    <w:rsid w:val="00FD5CB2"/>
    <w:rsid w:val="00FD6A2F"/>
    <w:rsid w:val="00FD6D4B"/>
    <w:rsid w:val="00FD7B45"/>
    <w:rsid w:val="00FE17D7"/>
    <w:rsid w:val="00FE396B"/>
    <w:rsid w:val="00FE44EE"/>
    <w:rsid w:val="00FE4889"/>
    <w:rsid w:val="00FE5464"/>
    <w:rsid w:val="00FE5A3E"/>
    <w:rsid w:val="00FE654B"/>
    <w:rsid w:val="00FE6E12"/>
    <w:rsid w:val="00FE6ECB"/>
    <w:rsid w:val="00FE7F34"/>
    <w:rsid w:val="00FF0A8B"/>
    <w:rsid w:val="00FF0E3E"/>
    <w:rsid w:val="00FF1267"/>
    <w:rsid w:val="00FF1E41"/>
    <w:rsid w:val="00FF4372"/>
    <w:rsid w:val="00FF4BB2"/>
    <w:rsid w:val="00FF4C24"/>
    <w:rsid w:val="00FF59E7"/>
    <w:rsid w:val="00FF5F97"/>
    <w:rsid w:val="00FF7257"/>
    <w:rsid w:val="00FF752A"/>
    <w:rsid w:val="00FF7BD9"/>
    <w:rsid w:val="035F1994"/>
    <w:rsid w:val="04353C9C"/>
    <w:rsid w:val="049623F8"/>
    <w:rsid w:val="04D06D42"/>
    <w:rsid w:val="05B95F1E"/>
    <w:rsid w:val="086E1568"/>
    <w:rsid w:val="08E159BD"/>
    <w:rsid w:val="093E3E7A"/>
    <w:rsid w:val="0962641F"/>
    <w:rsid w:val="09630209"/>
    <w:rsid w:val="0B3953E3"/>
    <w:rsid w:val="0C446D06"/>
    <w:rsid w:val="0CEF3A66"/>
    <w:rsid w:val="0CF2711F"/>
    <w:rsid w:val="0D9C70D9"/>
    <w:rsid w:val="0DE7465B"/>
    <w:rsid w:val="0E5D31AA"/>
    <w:rsid w:val="0F3F7BC8"/>
    <w:rsid w:val="0FA9604D"/>
    <w:rsid w:val="10185A7B"/>
    <w:rsid w:val="10B15434"/>
    <w:rsid w:val="12C50C1A"/>
    <w:rsid w:val="14323E6A"/>
    <w:rsid w:val="145D61E2"/>
    <w:rsid w:val="15774764"/>
    <w:rsid w:val="17F301A9"/>
    <w:rsid w:val="199A0A0E"/>
    <w:rsid w:val="19EF1374"/>
    <w:rsid w:val="1A95003E"/>
    <w:rsid w:val="1AD50FEF"/>
    <w:rsid w:val="1B813CE0"/>
    <w:rsid w:val="1B9D4516"/>
    <w:rsid w:val="1CDA398F"/>
    <w:rsid w:val="1DD75FFA"/>
    <w:rsid w:val="1E5D2CF3"/>
    <w:rsid w:val="20052AA6"/>
    <w:rsid w:val="200643E5"/>
    <w:rsid w:val="219E2716"/>
    <w:rsid w:val="22624C8B"/>
    <w:rsid w:val="235F1BA8"/>
    <w:rsid w:val="28A02A1B"/>
    <w:rsid w:val="28CA0B7C"/>
    <w:rsid w:val="29C4257F"/>
    <w:rsid w:val="2BDC2E5C"/>
    <w:rsid w:val="2BE85216"/>
    <w:rsid w:val="2F7A734E"/>
    <w:rsid w:val="2F9C16C2"/>
    <w:rsid w:val="2FD97FDB"/>
    <w:rsid w:val="33940D54"/>
    <w:rsid w:val="33CE6340"/>
    <w:rsid w:val="35BD25C7"/>
    <w:rsid w:val="36576957"/>
    <w:rsid w:val="373E348E"/>
    <w:rsid w:val="37672FB0"/>
    <w:rsid w:val="381C5B0D"/>
    <w:rsid w:val="3A891042"/>
    <w:rsid w:val="3A8F55CD"/>
    <w:rsid w:val="3B0F437A"/>
    <w:rsid w:val="3B537E3D"/>
    <w:rsid w:val="3B9220C8"/>
    <w:rsid w:val="40482E6A"/>
    <w:rsid w:val="415D52C3"/>
    <w:rsid w:val="42E26497"/>
    <w:rsid w:val="44313E1C"/>
    <w:rsid w:val="443A709A"/>
    <w:rsid w:val="463F2F6A"/>
    <w:rsid w:val="47C13C63"/>
    <w:rsid w:val="491739FA"/>
    <w:rsid w:val="4C7A73E0"/>
    <w:rsid w:val="4DB552A1"/>
    <w:rsid w:val="4DDB6F48"/>
    <w:rsid w:val="4DF0361D"/>
    <w:rsid w:val="4E9F73FB"/>
    <w:rsid w:val="50826996"/>
    <w:rsid w:val="5172570A"/>
    <w:rsid w:val="52C771B4"/>
    <w:rsid w:val="53623C74"/>
    <w:rsid w:val="53980F62"/>
    <w:rsid w:val="543A1806"/>
    <w:rsid w:val="54731278"/>
    <w:rsid w:val="547B7A27"/>
    <w:rsid w:val="54992EC7"/>
    <w:rsid w:val="54E86EE4"/>
    <w:rsid w:val="55883662"/>
    <w:rsid w:val="55AC4B21"/>
    <w:rsid w:val="56E9380E"/>
    <w:rsid w:val="57265097"/>
    <w:rsid w:val="57322C6A"/>
    <w:rsid w:val="577440B3"/>
    <w:rsid w:val="579A614B"/>
    <w:rsid w:val="586048C1"/>
    <w:rsid w:val="5AA727CA"/>
    <w:rsid w:val="5C0052EE"/>
    <w:rsid w:val="5C19131B"/>
    <w:rsid w:val="5CF01AC2"/>
    <w:rsid w:val="5D2A34F6"/>
    <w:rsid w:val="5D4E5899"/>
    <w:rsid w:val="601E3970"/>
    <w:rsid w:val="60895EF6"/>
    <w:rsid w:val="612748DD"/>
    <w:rsid w:val="61E51EA2"/>
    <w:rsid w:val="61FF62A7"/>
    <w:rsid w:val="63F60F25"/>
    <w:rsid w:val="65B37642"/>
    <w:rsid w:val="65F67457"/>
    <w:rsid w:val="679612FA"/>
    <w:rsid w:val="68CE4C4D"/>
    <w:rsid w:val="691256D9"/>
    <w:rsid w:val="69955344"/>
    <w:rsid w:val="6A794FEC"/>
    <w:rsid w:val="6B5A63A7"/>
    <w:rsid w:val="6B6507A9"/>
    <w:rsid w:val="6CB0467D"/>
    <w:rsid w:val="6D5F329C"/>
    <w:rsid w:val="6E4814A7"/>
    <w:rsid w:val="6F376AE5"/>
    <w:rsid w:val="6F581245"/>
    <w:rsid w:val="6FFFD1E1"/>
    <w:rsid w:val="70A8632E"/>
    <w:rsid w:val="70E015B7"/>
    <w:rsid w:val="747B6D6D"/>
    <w:rsid w:val="75171DCD"/>
    <w:rsid w:val="766D3B53"/>
    <w:rsid w:val="77744114"/>
    <w:rsid w:val="78A2429F"/>
    <w:rsid w:val="7A7D47A3"/>
    <w:rsid w:val="7E3E7DA3"/>
    <w:rsid w:val="D7B360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qFormat="1" w:unhideWhenUsed="0" w:uiPriority="0" w:name="footnote reference"/>
    <w:lsdException w:qFormat="1" w:unhideWhenUsed="0" w:uiPriority="99"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ocked="1"/>
    <w:lsdException w:uiPriority="0" w:name="List 2"/>
    <w:lsdException w:uiPriority="0" w:name="List 3"/>
    <w:lsdException w:unhideWhenUsed="0" w:uiPriority="0" w:semiHidden="0" w:name="List 4" w:locked="1"/>
    <w:lsdException w:unhideWhenUsed="0" w:uiPriority="0" w:semiHidden="0" w:name="List 5" w:locked="1"/>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ocked="1"/>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ocked="1"/>
    <w:lsdException w:unhideWhenUsed="0" w:uiPriority="0" w:semiHidden="0" w:name="Salutation" w:locked="1"/>
    <w:lsdException w:qFormat="1" w:unhideWhenUsed="0" w:uiPriority="0" w:semiHidden="0" w:name="Date"/>
    <w:lsdException w:unhideWhenUsed="0" w:uiPriority="0" w:semiHidden="0" w:name="Body Text First Indent" w:locked="1"/>
    <w:lsdException w:uiPriority="0" w:name="Body Text First Indent 2"/>
    <w:lsdException w:uiPriority="0" w:name="Note Heading"/>
    <w:lsdException w:uiPriority="0" w:name="Body Text 2"/>
    <w:lsdException w:uiPriority="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22" w:semiHidden="0" w:name="Strong" w:locked="1"/>
    <w:lsdException w:qFormat="1" w:unhideWhenUsed="0" w:uiPriority="0" w:semiHidden="0" w:name="Emphasis" w:locked="1"/>
    <w:lsdException w:qFormat="1" w:unhideWhenUsed="0"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7"/>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9"/>
    <w:qFormat/>
    <w:uiPriority w:val="0"/>
    <w:pPr>
      <w:widowControl/>
      <w:spacing w:before="100" w:beforeAutospacing="1" w:after="100" w:afterAutospacing="1" w:line="460" w:lineRule="exact"/>
      <w:jc w:val="left"/>
      <w:outlineLvl w:val="1"/>
    </w:pPr>
    <w:rPr>
      <w:rFonts w:ascii="宋体"/>
      <w:b/>
      <w:bCs/>
      <w:kern w:val="0"/>
      <w:sz w:val="36"/>
      <w:szCs w:val="36"/>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4">
    <w:name w:val="caption"/>
    <w:basedOn w:val="1"/>
    <w:next w:val="1"/>
    <w:qFormat/>
    <w:uiPriority w:val="0"/>
    <w:pPr>
      <w:spacing w:before="152" w:line="460" w:lineRule="exact"/>
    </w:pPr>
    <w:rPr>
      <w:rFonts w:ascii="Arial" w:hAnsi="Arial" w:eastAsia="黑体"/>
      <w:szCs w:val="20"/>
    </w:rPr>
  </w:style>
  <w:style w:type="paragraph" w:styleId="5">
    <w:name w:val="Document Map"/>
    <w:basedOn w:val="1"/>
    <w:link w:val="51"/>
    <w:semiHidden/>
    <w:qFormat/>
    <w:uiPriority w:val="0"/>
    <w:rPr>
      <w:rFonts w:ascii="宋体"/>
      <w:kern w:val="0"/>
      <w:sz w:val="18"/>
      <w:szCs w:val="18"/>
    </w:rPr>
  </w:style>
  <w:style w:type="paragraph" w:styleId="6">
    <w:name w:val="annotation text"/>
    <w:basedOn w:val="1"/>
    <w:link w:val="45"/>
    <w:qFormat/>
    <w:uiPriority w:val="99"/>
    <w:pPr>
      <w:spacing w:line="460" w:lineRule="exact"/>
      <w:jc w:val="left"/>
    </w:pPr>
    <w:rPr>
      <w:rFonts w:ascii="Calibri" w:hAnsi="Calibri"/>
      <w:szCs w:val="21"/>
    </w:rPr>
  </w:style>
  <w:style w:type="paragraph" w:styleId="7">
    <w:name w:val="Body Text"/>
    <w:basedOn w:val="1"/>
    <w:link w:val="49"/>
    <w:qFormat/>
    <w:uiPriority w:val="0"/>
    <w:pPr>
      <w:spacing w:line="380" w:lineRule="exact"/>
    </w:pPr>
    <w:rPr>
      <w:rFonts w:eastAsia="仿宋_GB2312"/>
      <w:sz w:val="28"/>
      <w:szCs w:val="20"/>
    </w:rPr>
  </w:style>
  <w:style w:type="paragraph" w:styleId="8">
    <w:name w:val="Body Text Indent"/>
    <w:basedOn w:val="1"/>
    <w:link w:val="38"/>
    <w:qFormat/>
    <w:uiPriority w:val="0"/>
    <w:pPr>
      <w:spacing w:line="460" w:lineRule="exact"/>
      <w:ind w:firstLine="630"/>
    </w:pPr>
    <w:rPr>
      <w:rFonts w:ascii="仿宋_GB2312" w:eastAsia="仿宋_GB2312"/>
      <w:sz w:val="32"/>
      <w:szCs w:val="20"/>
    </w:rPr>
  </w:style>
  <w:style w:type="paragraph" w:styleId="9">
    <w:name w:val="Plain Text"/>
    <w:basedOn w:val="1"/>
    <w:link w:val="44"/>
    <w:qFormat/>
    <w:uiPriority w:val="0"/>
    <w:pPr>
      <w:spacing w:line="460" w:lineRule="exact"/>
    </w:pPr>
    <w:rPr>
      <w:rFonts w:ascii="宋体" w:hAnsi="Courier New"/>
      <w:szCs w:val="20"/>
    </w:rPr>
  </w:style>
  <w:style w:type="paragraph" w:styleId="10">
    <w:name w:val="Date"/>
    <w:basedOn w:val="1"/>
    <w:next w:val="1"/>
    <w:link w:val="48"/>
    <w:qFormat/>
    <w:uiPriority w:val="0"/>
    <w:pPr>
      <w:ind w:left="100" w:leftChars="2500"/>
    </w:pPr>
    <w:rPr>
      <w:kern w:val="0"/>
      <w:sz w:val="24"/>
    </w:rPr>
  </w:style>
  <w:style w:type="paragraph" w:styleId="11">
    <w:name w:val="Body Text Indent 2"/>
    <w:basedOn w:val="1"/>
    <w:link w:val="42"/>
    <w:qFormat/>
    <w:uiPriority w:val="0"/>
    <w:pPr>
      <w:tabs>
        <w:tab w:val="left" w:pos="1809"/>
      </w:tabs>
      <w:adjustRightInd w:val="0"/>
      <w:spacing w:line="480" w:lineRule="exact"/>
      <w:ind w:firstLine="555"/>
      <w:jc w:val="left"/>
      <w:textAlignment w:val="bottom"/>
    </w:pPr>
    <w:rPr>
      <w:rFonts w:ascii="仿宋_GB2312" w:eastAsia="仿宋_GB2312"/>
      <w:kern w:val="0"/>
      <w:sz w:val="28"/>
      <w:szCs w:val="20"/>
    </w:rPr>
  </w:style>
  <w:style w:type="paragraph" w:styleId="12">
    <w:name w:val="Balloon Text"/>
    <w:basedOn w:val="1"/>
    <w:link w:val="53"/>
    <w:semiHidden/>
    <w:qFormat/>
    <w:uiPriority w:val="0"/>
    <w:rPr>
      <w:kern w:val="0"/>
      <w:sz w:val="18"/>
      <w:szCs w:val="18"/>
    </w:rPr>
  </w:style>
  <w:style w:type="paragraph" w:styleId="13">
    <w:name w:val="footer"/>
    <w:basedOn w:val="1"/>
    <w:link w:val="50"/>
    <w:qFormat/>
    <w:uiPriority w:val="99"/>
    <w:pPr>
      <w:tabs>
        <w:tab w:val="center" w:pos="4153"/>
        <w:tab w:val="right" w:pos="8306"/>
      </w:tabs>
      <w:snapToGrid w:val="0"/>
      <w:jc w:val="left"/>
    </w:pPr>
    <w:rPr>
      <w:kern w:val="0"/>
      <w:sz w:val="18"/>
      <w:szCs w:val="18"/>
    </w:rPr>
  </w:style>
  <w:style w:type="paragraph" w:styleId="14">
    <w:name w:val="header"/>
    <w:basedOn w:val="1"/>
    <w:link w:val="47"/>
    <w:qFormat/>
    <w:uiPriority w:val="0"/>
    <w:pPr>
      <w:pBdr>
        <w:bottom w:val="single" w:color="auto" w:sz="6" w:space="1"/>
      </w:pBdr>
      <w:tabs>
        <w:tab w:val="center" w:pos="4153"/>
        <w:tab w:val="right" w:pos="8306"/>
      </w:tabs>
      <w:snapToGrid w:val="0"/>
      <w:jc w:val="center"/>
    </w:pPr>
    <w:rPr>
      <w:kern w:val="0"/>
      <w:sz w:val="18"/>
      <w:szCs w:val="18"/>
    </w:rPr>
  </w:style>
  <w:style w:type="paragraph" w:styleId="15">
    <w:name w:val="Body Text Indent 3"/>
    <w:basedOn w:val="1"/>
    <w:link w:val="40"/>
    <w:qFormat/>
    <w:uiPriority w:val="0"/>
    <w:pPr>
      <w:adjustRightInd w:val="0"/>
      <w:snapToGrid w:val="0"/>
      <w:spacing w:line="360" w:lineRule="auto"/>
      <w:ind w:left="75" w:firstLine="345"/>
      <w:outlineLvl w:val="0"/>
    </w:pPr>
    <w:rPr>
      <w:rFonts w:ascii="宋体"/>
      <w:kern w:val="0"/>
      <w:szCs w:val="21"/>
    </w:rPr>
  </w:style>
  <w:style w:type="paragraph" w:styleId="16">
    <w:name w:val="Normal (Web)"/>
    <w:basedOn w:val="1"/>
    <w:qFormat/>
    <w:uiPriority w:val="99"/>
    <w:pPr>
      <w:widowControl/>
      <w:spacing w:before="100" w:beforeAutospacing="1" w:after="100" w:afterAutospacing="1" w:line="460" w:lineRule="exact"/>
      <w:jc w:val="left"/>
    </w:pPr>
    <w:rPr>
      <w:rFonts w:ascii="宋体" w:hAnsi="宋体"/>
      <w:kern w:val="0"/>
      <w:sz w:val="24"/>
    </w:rPr>
  </w:style>
  <w:style w:type="paragraph" w:styleId="17">
    <w:name w:val="annotation subject"/>
    <w:basedOn w:val="6"/>
    <w:next w:val="6"/>
    <w:link w:val="52"/>
    <w:semiHidden/>
    <w:qFormat/>
    <w:uiPriority w:val="0"/>
    <w:rPr>
      <w:b/>
      <w:bCs/>
    </w:rPr>
  </w:style>
  <w:style w:type="table" w:styleId="19">
    <w:name w:val="Table Grid"/>
    <w:basedOn w:val="1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locked/>
    <w:uiPriority w:val="22"/>
    <w:rPr>
      <w:b/>
      <w:bCs/>
    </w:rPr>
  </w:style>
  <w:style w:type="character" w:styleId="22">
    <w:name w:val="page number"/>
    <w:qFormat/>
    <w:uiPriority w:val="0"/>
    <w:rPr>
      <w:rFonts w:cs="Times New Roman"/>
    </w:rPr>
  </w:style>
  <w:style w:type="character" w:styleId="23">
    <w:name w:val="FollowedHyperlink"/>
    <w:qFormat/>
    <w:uiPriority w:val="0"/>
    <w:rPr>
      <w:rFonts w:cs="Times New Roman"/>
      <w:color w:val="800080"/>
      <w:u w:val="single"/>
    </w:rPr>
  </w:style>
  <w:style w:type="character" w:styleId="24">
    <w:name w:val="Hyperlink"/>
    <w:qFormat/>
    <w:uiPriority w:val="0"/>
    <w:rPr>
      <w:rFonts w:cs="Times New Roman"/>
      <w:color w:val="1B227E"/>
      <w:u w:val="none"/>
    </w:rPr>
  </w:style>
  <w:style w:type="character" w:styleId="25">
    <w:name w:val="annotation reference"/>
    <w:semiHidden/>
    <w:qFormat/>
    <w:uiPriority w:val="99"/>
    <w:rPr>
      <w:rFonts w:cs="Times New Roman"/>
      <w:sz w:val="21"/>
      <w:szCs w:val="21"/>
    </w:rPr>
  </w:style>
  <w:style w:type="character" w:styleId="26">
    <w:name w:val="footnote reference"/>
    <w:semiHidden/>
    <w:qFormat/>
    <w:uiPriority w:val="0"/>
    <w:rPr>
      <w:rFonts w:cs="Times New Roman"/>
      <w:vertAlign w:val="superscript"/>
    </w:rPr>
  </w:style>
  <w:style w:type="paragraph" w:customStyle="1" w:styleId="27">
    <w:name w:val="大标题"/>
    <w:basedOn w:val="1"/>
    <w:qFormat/>
    <w:uiPriority w:val="0"/>
    <w:pPr>
      <w:adjustRightInd w:val="0"/>
      <w:spacing w:before="2840" w:line="320" w:lineRule="atLeast"/>
      <w:jc w:val="center"/>
      <w:textAlignment w:val="bottom"/>
    </w:pPr>
    <w:rPr>
      <w:rFonts w:eastAsia="文鼎大标宋简"/>
      <w:kern w:val="0"/>
      <w:sz w:val="36"/>
      <w:szCs w:val="20"/>
    </w:rPr>
  </w:style>
  <w:style w:type="paragraph" w:customStyle="1" w:styleId="28">
    <w:name w:val="ordinary-output"/>
    <w:basedOn w:val="1"/>
    <w:qFormat/>
    <w:uiPriority w:val="0"/>
    <w:pPr>
      <w:widowControl/>
      <w:spacing w:before="100" w:beforeAutospacing="1" w:after="75" w:line="330" w:lineRule="atLeast"/>
      <w:jc w:val="left"/>
    </w:pPr>
    <w:rPr>
      <w:rFonts w:ascii="宋体" w:hAnsi="宋体" w:cs="宋体"/>
      <w:color w:val="333333"/>
      <w:kern w:val="0"/>
      <w:sz w:val="27"/>
      <w:szCs w:val="27"/>
    </w:rPr>
  </w:style>
  <w:style w:type="paragraph" w:customStyle="1" w:styleId="29">
    <w:name w:val="修订1"/>
    <w:qFormat/>
    <w:uiPriority w:val="0"/>
    <w:pPr>
      <w:spacing w:after="160" w:line="278" w:lineRule="auto"/>
    </w:pPr>
    <w:rPr>
      <w:rFonts w:ascii="Times New Roman" w:hAnsi="Times New Roman" w:eastAsia="宋体" w:cs="Times New Roman"/>
      <w:kern w:val="2"/>
      <w:sz w:val="21"/>
      <w:szCs w:val="24"/>
      <w:lang w:val="en-US" w:eastAsia="zh-CN" w:bidi="ar-SA"/>
    </w:rPr>
  </w:style>
  <w:style w:type="paragraph" w:customStyle="1" w:styleId="30">
    <w:name w:val="reader-word-layer reader-word-s19-13"/>
    <w:basedOn w:val="1"/>
    <w:qFormat/>
    <w:uiPriority w:val="0"/>
    <w:pPr>
      <w:widowControl/>
      <w:spacing w:before="100" w:beforeAutospacing="1" w:after="100" w:afterAutospacing="1" w:line="460" w:lineRule="exact"/>
      <w:jc w:val="left"/>
    </w:pPr>
    <w:rPr>
      <w:rFonts w:ascii="宋体" w:hAnsi="宋体" w:cs="宋体"/>
      <w:kern w:val="0"/>
      <w:sz w:val="24"/>
    </w:rPr>
  </w:style>
  <w:style w:type="paragraph" w:customStyle="1" w:styleId="31">
    <w:name w:val="reader-word-layer reader-word-s19-5"/>
    <w:basedOn w:val="1"/>
    <w:qFormat/>
    <w:uiPriority w:val="0"/>
    <w:pPr>
      <w:widowControl/>
      <w:spacing w:before="100" w:beforeAutospacing="1" w:after="100" w:afterAutospacing="1" w:line="460" w:lineRule="exact"/>
      <w:jc w:val="left"/>
    </w:pPr>
    <w:rPr>
      <w:rFonts w:ascii="宋体" w:hAnsi="宋体" w:cs="宋体"/>
      <w:kern w:val="0"/>
      <w:sz w:val="24"/>
    </w:rPr>
  </w:style>
  <w:style w:type="paragraph" w:customStyle="1" w:styleId="32">
    <w:name w:val="修订2"/>
    <w:semiHidden/>
    <w:qFormat/>
    <w:uiPriority w:val="99"/>
    <w:pPr>
      <w:spacing w:after="160" w:line="278" w:lineRule="auto"/>
    </w:pPr>
    <w:rPr>
      <w:rFonts w:ascii="Times New Roman" w:hAnsi="Times New Roman" w:eastAsia="宋体" w:cs="Times New Roman"/>
      <w:kern w:val="2"/>
      <w:sz w:val="21"/>
      <w:szCs w:val="24"/>
      <w:lang w:val="en-US" w:eastAsia="zh-CN" w:bidi="ar-SA"/>
    </w:rPr>
  </w:style>
  <w:style w:type="paragraph" w:customStyle="1" w:styleId="33">
    <w:name w:val="函号"/>
    <w:basedOn w:val="1"/>
    <w:qFormat/>
    <w:uiPriority w:val="0"/>
    <w:pPr>
      <w:adjustRightInd w:val="0"/>
      <w:spacing w:line="440" w:lineRule="atLeast"/>
      <w:jc w:val="right"/>
      <w:textAlignment w:val="bottom"/>
    </w:pPr>
    <w:rPr>
      <w:rFonts w:eastAsia="仿宋_GB2312"/>
      <w:kern w:val="0"/>
      <w:sz w:val="28"/>
      <w:szCs w:val="20"/>
    </w:rPr>
  </w:style>
  <w:style w:type="paragraph" w:customStyle="1" w:styleId="34">
    <w:name w:val="列出段落1"/>
    <w:basedOn w:val="1"/>
    <w:qFormat/>
    <w:uiPriority w:val="0"/>
    <w:pPr>
      <w:ind w:firstLine="420" w:firstLineChars="200"/>
    </w:pPr>
  </w:style>
  <w:style w:type="paragraph" w:customStyle="1" w:styleId="35">
    <w:name w:val="文号"/>
    <w:basedOn w:val="1"/>
    <w:qFormat/>
    <w:uiPriority w:val="0"/>
    <w:pPr>
      <w:adjustRightInd w:val="0"/>
      <w:spacing w:before="2550" w:line="360" w:lineRule="atLeast"/>
      <w:jc w:val="center"/>
      <w:textAlignment w:val="baseline"/>
    </w:pPr>
    <w:rPr>
      <w:rFonts w:eastAsia="仿宋_GB2312"/>
      <w:kern w:val="0"/>
      <w:sz w:val="28"/>
      <w:szCs w:val="20"/>
    </w:rPr>
  </w:style>
  <w:style w:type="paragraph" w:customStyle="1" w:styleId="36">
    <w:name w:val="主题词"/>
    <w:basedOn w:val="1"/>
    <w:qFormat/>
    <w:uiPriority w:val="0"/>
    <w:pPr>
      <w:adjustRightInd w:val="0"/>
      <w:spacing w:line="440" w:lineRule="atLeast"/>
      <w:jc w:val="left"/>
      <w:textAlignment w:val="bottom"/>
    </w:pPr>
    <w:rPr>
      <w:rFonts w:eastAsia="黑体"/>
      <w:kern w:val="0"/>
      <w:sz w:val="28"/>
      <w:szCs w:val="20"/>
    </w:rPr>
  </w:style>
  <w:style w:type="character" w:customStyle="1" w:styleId="37">
    <w:name w:val="标题 1 字符"/>
    <w:link w:val="2"/>
    <w:qFormat/>
    <w:locked/>
    <w:uiPriority w:val="0"/>
    <w:rPr>
      <w:rFonts w:cs="Times New Roman"/>
      <w:b/>
      <w:bCs/>
      <w:kern w:val="44"/>
      <w:sz w:val="44"/>
      <w:szCs w:val="44"/>
    </w:rPr>
  </w:style>
  <w:style w:type="character" w:customStyle="1" w:styleId="38">
    <w:name w:val="正文文本缩进 字符"/>
    <w:link w:val="8"/>
    <w:qFormat/>
    <w:locked/>
    <w:uiPriority w:val="0"/>
    <w:rPr>
      <w:rFonts w:ascii="仿宋_GB2312" w:eastAsia="仿宋_GB2312" w:cs="Times New Roman"/>
      <w:kern w:val="2"/>
      <w:sz w:val="32"/>
    </w:rPr>
  </w:style>
  <w:style w:type="character" w:customStyle="1" w:styleId="39">
    <w:name w:val="标题 2 字符"/>
    <w:link w:val="3"/>
    <w:qFormat/>
    <w:locked/>
    <w:uiPriority w:val="0"/>
    <w:rPr>
      <w:rFonts w:ascii="宋体" w:eastAsia="宋体" w:cs="Times New Roman"/>
      <w:b/>
      <w:bCs/>
      <w:sz w:val="36"/>
      <w:szCs w:val="36"/>
    </w:rPr>
  </w:style>
  <w:style w:type="character" w:customStyle="1" w:styleId="40">
    <w:name w:val="正文文本缩进 3 字符"/>
    <w:link w:val="15"/>
    <w:qFormat/>
    <w:locked/>
    <w:uiPriority w:val="0"/>
    <w:rPr>
      <w:rFonts w:ascii="宋体" w:eastAsia="宋体" w:cs="Times New Roman"/>
      <w:sz w:val="21"/>
      <w:szCs w:val="21"/>
    </w:rPr>
  </w:style>
  <w:style w:type="character" w:customStyle="1" w:styleId="41">
    <w:name w:val="edited2"/>
    <w:qFormat/>
    <w:uiPriority w:val="0"/>
    <w:rPr>
      <w:rFonts w:cs="Times New Roman"/>
    </w:rPr>
  </w:style>
  <w:style w:type="character" w:customStyle="1" w:styleId="42">
    <w:name w:val="正文文本缩进 2 字符"/>
    <w:link w:val="11"/>
    <w:qFormat/>
    <w:locked/>
    <w:uiPriority w:val="0"/>
    <w:rPr>
      <w:rFonts w:ascii="仿宋_GB2312" w:eastAsia="仿宋_GB2312" w:cs="Times New Roman"/>
      <w:sz w:val="28"/>
    </w:rPr>
  </w:style>
  <w:style w:type="character" w:customStyle="1" w:styleId="43">
    <w:name w:val="high-light-bg4"/>
    <w:qFormat/>
    <w:uiPriority w:val="0"/>
    <w:rPr>
      <w:rFonts w:cs="Times New Roman"/>
    </w:rPr>
  </w:style>
  <w:style w:type="character" w:customStyle="1" w:styleId="44">
    <w:name w:val="纯文本 字符"/>
    <w:link w:val="9"/>
    <w:qFormat/>
    <w:locked/>
    <w:uiPriority w:val="0"/>
    <w:rPr>
      <w:rFonts w:ascii="宋体" w:hAnsi="Courier New" w:cs="Times New Roman"/>
      <w:kern w:val="2"/>
      <w:sz w:val="21"/>
    </w:rPr>
  </w:style>
  <w:style w:type="character" w:customStyle="1" w:styleId="45">
    <w:name w:val="批注文字 字符"/>
    <w:link w:val="6"/>
    <w:qFormat/>
    <w:locked/>
    <w:uiPriority w:val="99"/>
    <w:rPr>
      <w:rFonts w:ascii="Calibri" w:hAnsi="Calibri" w:cs="Calibri"/>
      <w:kern w:val="2"/>
      <w:sz w:val="21"/>
      <w:szCs w:val="21"/>
    </w:rPr>
  </w:style>
  <w:style w:type="character" w:customStyle="1" w:styleId="46">
    <w:name w:val="unnamed2"/>
    <w:qFormat/>
    <w:uiPriority w:val="0"/>
    <w:rPr>
      <w:rFonts w:cs="Times New Roman"/>
    </w:rPr>
  </w:style>
  <w:style w:type="character" w:customStyle="1" w:styleId="47">
    <w:name w:val="页眉 字符"/>
    <w:link w:val="14"/>
    <w:qFormat/>
    <w:locked/>
    <w:uiPriority w:val="0"/>
    <w:rPr>
      <w:rFonts w:cs="Times New Roman"/>
      <w:sz w:val="18"/>
      <w:szCs w:val="18"/>
    </w:rPr>
  </w:style>
  <w:style w:type="character" w:customStyle="1" w:styleId="48">
    <w:name w:val="日期 字符"/>
    <w:link w:val="10"/>
    <w:qFormat/>
    <w:locked/>
    <w:uiPriority w:val="0"/>
    <w:rPr>
      <w:rFonts w:cs="Times New Roman"/>
      <w:sz w:val="24"/>
      <w:szCs w:val="24"/>
    </w:rPr>
  </w:style>
  <w:style w:type="character" w:customStyle="1" w:styleId="49">
    <w:name w:val="正文文本 字符"/>
    <w:link w:val="7"/>
    <w:qFormat/>
    <w:locked/>
    <w:uiPriority w:val="0"/>
    <w:rPr>
      <w:rFonts w:eastAsia="仿宋_GB2312" w:cs="Times New Roman"/>
      <w:kern w:val="2"/>
      <w:sz w:val="28"/>
    </w:rPr>
  </w:style>
  <w:style w:type="character" w:customStyle="1" w:styleId="50">
    <w:name w:val="页脚 字符"/>
    <w:link w:val="13"/>
    <w:qFormat/>
    <w:locked/>
    <w:uiPriority w:val="99"/>
    <w:rPr>
      <w:rFonts w:cs="Times New Roman"/>
      <w:sz w:val="18"/>
      <w:szCs w:val="18"/>
    </w:rPr>
  </w:style>
  <w:style w:type="character" w:customStyle="1" w:styleId="51">
    <w:name w:val="文档结构图 字符"/>
    <w:link w:val="5"/>
    <w:qFormat/>
    <w:locked/>
    <w:uiPriority w:val="0"/>
    <w:rPr>
      <w:rFonts w:ascii="宋体" w:cs="Times New Roman"/>
      <w:sz w:val="18"/>
      <w:szCs w:val="18"/>
    </w:rPr>
  </w:style>
  <w:style w:type="character" w:customStyle="1" w:styleId="52">
    <w:name w:val="批注主题 字符"/>
    <w:link w:val="17"/>
    <w:semiHidden/>
    <w:qFormat/>
    <w:locked/>
    <w:uiPriority w:val="0"/>
    <w:rPr>
      <w:rFonts w:ascii="Calibri" w:hAnsi="Calibri" w:cs="Calibri"/>
      <w:b/>
      <w:bCs/>
      <w:kern w:val="2"/>
      <w:sz w:val="21"/>
      <w:szCs w:val="21"/>
    </w:rPr>
  </w:style>
  <w:style w:type="character" w:customStyle="1" w:styleId="53">
    <w:name w:val="批注框文本 字符"/>
    <w:link w:val="12"/>
    <w:qFormat/>
    <w:locked/>
    <w:uiPriority w:val="0"/>
    <w:rPr>
      <w:rFonts w:cs="Times New Roman"/>
      <w:sz w:val="18"/>
      <w:szCs w:val="18"/>
    </w:rPr>
  </w:style>
  <w:style w:type="paragraph" w:customStyle="1" w:styleId="54">
    <w:name w:val="正文1"/>
    <w:qFormat/>
    <w:uiPriority w:val="0"/>
    <w:pPr>
      <w:spacing w:after="160" w:line="278" w:lineRule="auto"/>
      <w:jc w:val="both"/>
    </w:pPr>
    <w:rPr>
      <w:rFonts w:ascii="Times New Roman" w:hAnsi="Times New Roman" w:eastAsia="宋体" w:cs="Times New Roman"/>
      <w:kern w:val="2"/>
      <w:sz w:val="21"/>
      <w:szCs w:val="21"/>
      <w:lang w:val="en-US" w:eastAsia="zh-CN" w:bidi="ar-SA"/>
    </w:rPr>
  </w:style>
  <w:style w:type="paragraph" w:customStyle="1" w:styleId="55">
    <w:name w:val="列出段落2"/>
    <w:basedOn w:val="1"/>
    <w:qFormat/>
    <w:uiPriority w:val="0"/>
    <w:pPr>
      <w:ind w:firstLine="420" w:firstLineChars="200"/>
    </w:pPr>
    <w:rPr>
      <w:rFonts w:ascii="等线" w:hAnsi="等线" w:eastAsia="等线"/>
      <w:szCs w:val="21"/>
    </w:rPr>
  </w:style>
  <w:style w:type="paragraph" w:styleId="56">
    <w:name w:val="List Paragraph"/>
    <w:basedOn w:val="1"/>
    <w:qFormat/>
    <w:uiPriority w:val="34"/>
    <w:pPr>
      <w:ind w:firstLine="420" w:firstLineChars="200"/>
    </w:pPr>
    <w:rPr>
      <w:rFonts w:asciiTheme="minorHAnsi" w:hAnsiTheme="minorHAnsi" w:eastAsiaTheme="minorEastAsia" w:cstheme="minorBidi"/>
      <w:szCs w:val="22"/>
    </w:rPr>
  </w:style>
  <w:style w:type="paragraph" w:customStyle="1" w:styleId="57">
    <w:name w:val="修订3"/>
    <w:hidden/>
    <w:semiHidden/>
    <w:qFormat/>
    <w:uiPriority w:val="99"/>
    <w:pPr>
      <w:spacing w:after="160" w:line="278" w:lineRule="auto"/>
    </w:pPr>
    <w:rPr>
      <w:rFonts w:ascii="Times New Roman" w:hAnsi="Times New Roman" w:eastAsia="宋体" w:cs="Times New Roman"/>
      <w:kern w:val="2"/>
      <w:sz w:val="21"/>
      <w:szCs w:val="24"/>
      <w:lang w:val="en-US" w:eastAsia="zh-CN" w:bidi="ar-SA"/>
    </w:rPr>
  </w:style>
  <w:style w:type="paragraph" w:customStyle="1" w:styleId="58">
    <w:name w:val="修订4"/>
    <w:hidden/>
    <w:semiHidden/>
    <w:qFormat/>
    <w:uiPriority w:val="99"/>
    <w:pPr>
      <w:spacing w:after="160" w:line="278" w:lineRule="auto"/>
    </w:pPr>
    <w:rPr>
      <w:rFonts w:ascii="Times New Roman" w:hAnsi="Times New Roman" w:eastAsia="宋体" w:cs="Times New Roman"/>
      <w:kern w:val="2"/>
      <w:sz w:val="21"/>
      <w:szCs w:val="24"/>
      <w:lang w:val="en-US" w:eastAsia="zh-CN" w:bidi="ar-SA"/>
    </w:rPr>
  </w:style>
  <w:style w:type="paragraph" w:customStyle="1" w:styleId="59">
    <w:name w:val="修订5"/>
    <w:hidden/>
    <w:semiHidden/>
    <w:qFormat/>
    <w:uiPriority w:val="99"/>
    <w:pPr>
      <w:spacing w:after="160" w:line="278" w:lineRule="auto"/>
    </w:pPr>
    <w:rPr>
      <w:rFonts w:ascii="Times New Roman" w:hAnsi="Times New Roman" w:eastAsia="宋体" w:cs="Times New Roman"/>
      <w:kern w:val="2"/>
      <w:sz w:val="21"/>
      <w:szCs w:val="24"/>
      <w:lang w:val="en-US" w:eastAsia="zh-CN" w:bidi="ar-SA"/>
    </w:rPr>
  </w:style>
  <w:style w:type="paragraph" w:customStyle="1" w:styleId="60">
    <w:name w:val="修订6"/>
    <w:hidden/>
    <w:semiHidden/>
    <w:qFormat/>
    <w:uiPriority w:val="99"/>
    <w:pPr>
      <w:spacing w:after="160" w:line="278" w:lineRule="auto"/>
    </w:pPr>
    <w:rPr>
      <w:rFonts w:ascii="Times New Roman" w:hAnsi="Times New Roman" w:eastAsia="宋体" w:cs="Times New Roman"/>
      <w:kern w:val="2"/>
      <w:sz w:val="21"/>
      <w:szCs w:val="24"/>
      <w:lang w:val="en-US" w:eastAsia="zh-CN" w:bidi="ar-SA"/>
    </w:rPr>
  </w:style>
  <w:style w:type="paragraph" w:customStyle="1" w:styleId="61">
    <w:name w:val="修订7"/>
    <w:hidden/>
    <w:semiHidden/>
    <w:qFormat/>
    <w:uiPriority w:val="99"/>
    <w:pPr>
      <w:spacing w:after="160" w:line="278" w:lineRule="auto"/>
    </w:pPr>
    <w:rPr>
      <w:rFonts w:ascii="Times New Roman" w:hAnsi="Times New Roman" w:eastAsia="宋体" w:cs="Times New Roman"/>
      <w:kern w:val="2"/>
      <w:sz w:val="21"/>
      <w:szCs w:val="24"/>
      <w:lang w:val="en-US" w:eastAsia="zh-CN" w:bidi="ar-SA"/>
    </w:rPr>
  </w:style>
  <w:style w:type="paragraph" w:customStyle="1" w:styleId="62">
    <w:name w:val="修订8"/>
    <w:hidden/>
    <w:semiHidden/>
    <w:qFormat/>
    <w:uiPriority w:val="99"/>
    <w:pPr>
      <w:spacing w:after="160" w:line="278" w:lineRule="auto"/>
    </w:pPr>
    <w:rPr>
      <w:rFonts w:ascii="Times New Roman" w:hAnsi="Times New Roman" w:eastAsia="宋体" w:cs="Times New Roman"/>
      <w:kern w:val="2"/>
      <w:sz w:val="21"/>
      <w:szCs w:val="24"/>
      <w:lang w:val="en-US" w:eastAsia="zh-CN" w:bidi="ar-SA"/>
    </w:rPr>
  </w:style>
  <w:style w:type="paragraph" w:customStyle="1" w:styleId="63">
    <w:name w:val="修订9"/>
    <w:hidden/>
    <w:semiHidden/>
    <w:qFormat/>
    <w:uiPriority w:val="99"/>
    <w:pPr>
      <w:spacing w:after="160" w:line="278" w:lineRule="auto"/>
    </w:pPr>
    <w:rPr>
      <w:rFonts w:ascii="Times New Roman" w:hAnsi="Times New Roman" w:eastAsia="宋体" w:cs="Times New Roman"/>
      <w:kern w:val="2"/>
      <w:sz w:val="21"/>
      <w:szCs w:val="24"/>
      <w:lang w:val="en-US" w:eastAsia="zh-CN" w:bidi="ar-SA"/>
    </w:rPr>
  </w:style>
  <w:style w:type="paragraph" w:customStyle="1" w:styleId="64">
    <w:name w:val="修订10"/>
    <w:hidden/>
    <w:semiHidden/>
    <w:qFormat/>
    <w:uiPriority w:val="99"/>
    <w:pPr>
      <w:spacing w:after="160" w:line="278" w:lineRule="auto"/>
    </w:pPr>
    <w:rPr>
      <w:rFonts w:ascii="Times New Roman" w:hAnsi="Times New Roman" w:eastAsia="宋体" w:cs="Times New Roman"/>
      <w:kern w:val="2"/>
      <w:sz w:val="21"/>
      <w:szCs w:val="24"/>
      <w:lang w:val="en-US" w:eastAsia="zh-CN" w:bidi="ar-SA"/>
    </w:rPr>
  </w:style>
  <w:style w:type="paragraph" w:customStyle="1" w:styleId="65">
    <w:name w:val="修订11"/>
    <w:hidden/>
    <w:semiHidden/>
    <w:qFormat/>
    <w:uiPriority w:val="99"/>
    <w:pPr>
      <w:spacing w:after="160" w:line="278" w:lineRule="auto"/>
    </w:pPr>
    <w:rPr>
      <w:rFonts w:ascii="Times New Roman" w:hAnsi="Times New Roman" w:eastAsia="宋体" w:cs="Times New Roman"/>
      <w:kern w:val="2"/>
      <w:sz w:val="21"/>
      <w:szCs w:val="24"/>
      <w:lang w:val="en-US" w:eastAsia="zh-CN" w:bidi="ar-SA"/>
    </w:rPr>
  </w:style>
  <w:style w:type="table" w:customStyle="1" w:styleId="66">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67">
    <w:name w:val="修订12"/>
    <w:hidden/>
    <w:unhideWhenUsed/>
    <w:qFormat/>
    <w:uiPriority w:val="99"/>
    <w:pPr>
      <w:spacing w:after="160" w:line="278" w:lineRule="auto"/>
    </w:pPr>
    <w:rPr>
      <w:rFonts w:ascii="Times New Roman" w:hAnsi="Times New Roman" w:eastAsia="宋体" w:cs="Times New Roman"/>
      <w:kern w:val="2"/>
      <w:sz w:val="21"/>
      <w:szCs w:val="24"/>
      <w:lang w:val="en-US" w:eastAsia="zh-CN" w:bidi="ar-SA"/>
    </w:rPr>
  </w:style>
  <w:style w:type="character" w:customStyle="1" w:styleId="68">
    <w:name w:val="fontstyle01"/>
    <w:basedOn w:val="20"/>
    <w:qFormat/>
    <w:uiPriority w:val="0"/>
    <w:rPr>
      <w:rFonts w:hint="default" w:ascii="仿宋" w:hAnsi="仿宋"/>
      <w:color w:val="000000"/>
      <w:sz w:val="22"/>
      <w:szCs w:val="22"/>
    </w:rPr>
  </w:style>
  <w:style w:type="character" w:customStyle="1" w:styleId="69">
    <w:name w:val="fontstyle21"/>
    <w:basedOn w:val="20"/>
    <w:qFormat/>
    <w:uiPriority w:val="0"/>
    <w:rPr>
      <w:rFonts w:hint="eastAsia" w:ascii="宋体" w:hAnsi="宋体" w:eastAsia="宋体"/>
      <w:color w:val="000000"/>
      <w:sz w:val="24"/>
      <w:szCs w:val="24"/>
    </w:rPr>
  </w:style>
  <w:style w:type="paragraph" w:customStyle="1" w:styleId="70">
    <w:name w:val="修订13"/>
    <w:hidden/>
    <w:unhideWhenUsed/>
    <w:qFormat/>
    <w:uiPriority w:val="99"/>
    <w:rPr>
      <w:rFonts w:ascii="Times New Roman" w:hAnsi="Times New Roman" w:eastAsia="宋体" w:cs="Times New Roman"/>
      <w:kern w:val="2"/>
      <w:sz w:val="21"/>
      <w:szCs w:val="24"/>
      <w:lang w:val="en-US" w:eastAsia="zh-CN" w:bidi="ar-SA"/>
    </w:rPr>
  </w:style>
  <w:style w:type="paragraph" w:customStyle="1" w:styleId="71">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028D10-684D-485C-8496-9E811B5B9479}">
  <ds:schemaRefs/>
</ds:datastoreItem>
</file>

<file path=docProps/app.xml><?xml version="1.0" encoding="utf-8"?>
<Properties xmlns="http://schemas.openxmlformats.org/officeDocument/2006/extended-properties" xmlns:vt="http://schemas.openxmlformats.org/officeDocument/2006/docPropsVTypes">
  <Template>Normal</Template>
  <Pages>32</Pages>
  <Words>12313</Words>
  <Characters>13429</Characters>
  <Lines>146</Lines>
  <Paragraphs>41</Paragraphs>
  <TotalTime>103</TotalTime>
  <ScaleCrop>false</ScaleCrop>
  <LinksUpToDate>false</LinksUpToDate>
  <CharactersWithSpaces>13489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2026-03-24T23:51:00Z</dcterms:created>
  <dc:creator>kongjian</dc:creator>
  <cp:lastModifiedBy>Bethany</cp:lastModifiedBy>
  <cp:lastPrinted>2026-04-28T07:08:00Z</cp:lastPrinted>
  <dcterms:modified xsi:type="dcterms:W3CDTF">2026-06-01T06:45:56Z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1F86821D018742C18BD737687B6AD7EF_13</vt:lpwstr>
  </property>
  <property fmtid="{D5CDD505-2E9C-101B-9397-08002B2CF9AE}" pid="4" name="KSOTemplateDocerSaveRecord">
    <vt:lpwstr>eyJoZGlkIjoiNDVkZjIwZmIzOTZkNmUyOGNjNzBjOGMzNDc3Yjk3ZDIiLCJ1c2VySWQiOiI0NTk2NzczODEifQ==</vt:lpwstr>
  </property>
</Properties>
</file>